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fill" method="linear sigma" focus="100%" type="gradient"/>
    </v:background>
  </w:background>
  <w:body>
    <w:p w:rsidR="001A6D9E" w:rsidRDefault="00B9720F">
      <w:pPr>
        <w:jc w:val="center"/>
        <w:rPr>
          <w:b/>
          <w:i/>
          <w:color w:val="17365D"/>
          <w:sz w:val="32"/>
          <w:szCs w:val="32"/>
          <w:lang w:val="en-GB"/>
        </w:rPr>
      </w:pPr>
      <w:r>
        <w:rPr>
          <w:b/>
          <w:i/>
          <w:noProof/>
          <w:color w:val="17365D"/>
          <w:lang w:val="en-GB" w:eastAsia="en-GB"/>
        </w:rPr>
        <w:drawing>
          <wp:inline distT="0" distB="0" distL="0" distR="0">
            <wp:extent cx="4352925" cy="2892341"/>
            <wp:effectExtent l="19050" t="0" r="0" b="0"/>
            <wp:docPr id="1" name="Picture 1" descr="C:\Users\Ilona\Desktop\Telecentre Europe\TE logo+tagli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Desktop\Telecentre Europe\TE logo+tagline RGB.jpg"/>
                    <pic:cNvPicPr>
                      <a:picLocks noChangeAspect="1" noChangeArrowheads="1"/>
                    </pic:cNvPicPr>
                  </pic:nvPicPr>
                  <pic:blipFill>
                    <a:blip r:embed="rId7" cstate="print"/>
                    <a:srcRect/>
                    <a:stretch>
                      <a:fillRect/>
                    </a:stretch>
                  </pic:blipFill>
                  <pic:spPr bwMode="auto">
                    <a:xfrm>
                      <a:off x="0" y="0"/>
                      <a:ext cx="4353230" cy="2892544"/>
                    </a:xfrm>
                    <a:prstGeom prst="rect">
                      <a:avLst/>
                    </a:prstGeom>
                    <a:noFill/>
                    <a:ln w="9525">
                      <a:noFill/>
                      <a:miter lim="800000"/>
                      <a:headEnd/>
                      <a:tailEnd/>
                    </a:ln>
                  </pic:spPr>
                </pic:pic>
              </a:graphicData>
            </a:graphic>
          </wp:inline>
        </w:drawing>
      </w:r>
      <w:r w:rsidR="001A6D9E">
        <w:rPr>
          <w:b/>
          <w:i/>
          <w:color w:val="17365D"/>
          <w:lang w:val="en-GB"/>
        </w:rPr>
        <w:br/>
      </w:r>
    </w:p>
    <w:p w:rsidR="003768D9" w:rsidRDefault="004542A3" w:rsidP="00310A7E">
      <w:pPr>
        <w:pStyle w:val="Title"/>
        <w:pBdr>
          <w:bottom w:val="none" w:sz="0" w:space="0" w:color="auto"/>
        </w:pBdr>
        <w:jc w:val="center"/>
        <w:rPr>
          <w:b/>
          <w:sz w:val="96"/>
          <w:szCs w:val="96"/>
          <w:lang w:val="en-GB"/>
        </w:rPr>
      </w:pPr>
      <w:r w:rsidRPr="00310A7E">
        <w:rPr>
          <w:b/>
          <w:sz w:val="96"/>
          <w:szCs w:val="96"/>
          <w:lang w:val="en-GB"/>
        </w:rPr>
        <w:t>Member</w:t>
      </w:r>
      <w:r w:rsidR="00CC38BC" w:rsidRPr="00310A7E">
        <w:rPr>
          <w:b/>
          <w:sz w:val="96"/>
          <w:szCs w:val="96"/>
          <w:lang w:val="en-GB"/>
        </w:rPr>
        <w:t>ship</w:t>
      </w:r>
      <w:r w:rsidR="003768D9">
        <w:rPr>
          <w:b/>
          <w:sz w:val="96"/>
          <w:szCs w:val="96"/>
          <w:lang w:val="en-GB"/>
        </w:rPr>
        <w:t xml:space="preserve"> </w:t>
      </w:r>
    </w:p>
    <w:p w:rsidR="001A6D9E" w:rsidRDefault="00B178C9" w:rsidP="00310A7E">
      <w:pPr>
        <w:pStyle w:val="Title"/>
        <w:pBdr>
          <w:bottom w:val="none" w:sz="0" w:space="0" w:color="auto"/>
        </w:pBdr>
        <w:jc w:val="center"/>
        <w:rPr>
          <w:b/>
          <w:szCs w:val="96"/>
          <w:lang w:val="en-GB"/>
        </w:rPr>
      </w:pPr>
      <w:r>
        <w:rPr>
          <w:b/>
          <w:szCs w:val="96"/>
          <w:lang w:val="en-GB"/>
        </w:rPr>
        <w:t xml:space="preserve">» </w:t>
      </w:r>
      <w:r w:rsidR="003768D9" w:rsidRPr="003768D9">
        <w:rPr>
          <w:b/>
          <w:szCs w:val="96"/>
          <w:lang w:val="en-GB"/>
        </w:rPr>
        <w:t>terms and conditions</w:t>
      </w:r>
    </w:p>
    <w:p w:rsidR="00B178C9" w:rsidRDefault="00B178C9" w:rsidP="00B178C9">
      <w:pPr>
        <w:rPr>
          <w:lang w:val="en-GB"/>
        </w:rPr>
      </w:pPr>
    </w:p>
    <w:p w:rsidR="00B178C9" w:rsidRPr="00B178C9" w:rsidRDefault="00B178C9" w:rsidP="00B178C9">
      <w:pPr>
        <w:rPr>
          <w:lang w:val="en-GB"/>
        </w:rPr>
      </w:pPr>
    </w:p>
    <w:p w:rsidR="004542A3" w:rsidRDefault="004542A3">
      <w:pPr>
        <w:rPr>
          <w:b/>
          <w:i/>
          <w:color w:val="E36C0A"/>
          <w:sz w:val="32"/>
          <w:szCs w:val="32"/>
          <w:lang w:val="en-GB"/>
        </w:rPr>
      </w:pPr>
    </w:p>
    <w:p w:rsidR="001A6D9E" w:rsidRDefault="001A6D9E" w:rsidP="00CC38BC">
      <w:pPr>
        <w:rPr>
          <w:b/>
          <w:i/>
          <w:color w:val="E36C0A"/>
          <w:sz w:val="32"/>
          <w:szCs w:val="32"/>
          <w:lang w:val="en-GB"/>
        </w:rPr>
      </w:pPr>
    </w:p>
    <w:p w:rsidR="00310A7E" w:rsidRDefault="00CC38BC">
      <w:pPr>
        <w:jc w:val="center"/>
        <w:rPr>
          <w:b/>
          <w:color w:val="17365D"/>
          <w:sz w:val="36"/>
          <w:szCs w:val="36"/>
          <w:lang w:val="en-GB"/>
        </w:rPr>
      </w:pPr>
      <w:r>
        <w:rPr>
          <w:b/>
          <w:noProof/>
          <w:color w:val="17365D"/>
          <w:sz w:val="36"/>
          <w:szCs w:val="36"/>
          <w:lang w:val="en-GB" w:eastAsia="en-GB"/>
        </w:rPr>
        <w:drawing>
          <wp:anchor distT="0" distB="0" distL="114300" distR="114300" simplePos="0" relativeHeight="251658752" behindDoc="1" locked="1" layoutInCell="1" allowOverlap="1">
            <wp:simplePos x="0" y="0"/>
            <wp:positionH relativeFrom="column">
              <wp:posOffset>310515</wp:posOffset>
            </wp:positionH>
            <wp:positionV relativeFrom="page">
              <wp:posOffset>5631180</wp:posOffset>
            </wp:positionV>
            <wp:extent cx="5972175" cy="4686300"/>
            <wp:effectExtent l="0" t="0" r="9525" b="0"/>
            <wp:wrapNone/>
            <wp:docPr id="36" name="Picture 1" descr="TE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_m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4686300"/>
                    </a:xfrm>
                    <a:prstGeom prst="rect">
                      <a:avLst/>
                    </a:prstGeom>
                    <a:noFill/>
                    <a:ln>
                      <a:noFill/>
                    </a:ln>
                  </pic:spPr>
                </pic:pic>
              </a:graphicData>
            </a:graphic>
          </wp:anchor>
        </w:drawing>
      </w:r>
      <w:r w:rsidR="006A466F">
        <w:rPr>
          <w:b/>
          <w:color w:val="17365D"/>
          <w:sz w:val="36"/>
          <w:szCs w:val="36"/>
          <w:lang w:val="en-GB"/>
        </w:rPr>
        <w:br w:type="page"/>
      </w:r>
    </w:p>
    <w:p w:rsidR="00E94EB9" w:rsidRPr="00AD2BBD" w:rsidRDefault="00E94EB9" w:rsidP="00DF5C04">
      <w:pPr>
        <w:jc w:val="both"/>
        <w:rPr>
          <w:rFonts w:ascii="Cambria" w:hAnsi="Cambria"/>
          <w:szCs w:val="24"/>
          <w:lang w:val="en-GB"/>
        </w:rPr>
      </w:pPr>
    </w:p>
    <w:p w:rsidR="00816B90" w:rsidRPr="00DF5C04" w:rsidRDefault="00F665D7" w:rsidP="00F61AB1">
      <w:pPr>
        <w:pStyle w:val="Heading1"/>
        <w:rPr>
          <w:lang w:val="en-GB"/>
        </w:rPr>
      </w:pPr>
      <w:r w:rsidRPr="00DF5C04">
        <w:rPr>
          <w:lang w:val="en-GB"/>
        </w:rPr>
        <w:t xml:space="preserve">TELECENTRE-EUROPE: </w:t>
      </w:r>
      <w:r w:rsidR="00816B90" w:rsidRPr="00DF5C04">
        <w:rPr>
          <w:lang w:val="en-GB"/>
        </w:rPr>
        <w:t xml:space="preserve">GOALS </w:t>
      </w:r>
      <w:r w:rsidRPr="00DF5C04">
        <w:rPr>
          <w:lang w:val="en-GB"/>
        </w:rPr>
        <w:t>&amp;</w:t>
      </w:r>
      <w:r w:rsidR="00816B90" w:rsidRPr="00DF5C04">
        <w:rPr>
          <w:lang w:val="en-GB"/>
        </w:rPr>
        <w:t xml:space="preserve"> ACTIVITIES </w:t>
      </w:r>
    </w:p>
    <w:p w:rsidR="00DF5C04" w:rsidRDefault="00DF5C04" w:rsidP="009F1643">
      <w:pPr>
        <w:spacing w:after="60" w:line="240" w:lineRule="auto"/>
        <w:rPr>
          <w:rFonts w:ascii="Cambria" w:hAnsi="Cambria"/>
          <w:b/>
        </w:rPr>
      </w:pPr>
    </w:p>
    <w:p w:rsidR="00816B90" w:rsidRPr="009F1643" w:rsidRDefault="00816B90" w:rsidP="00F61AB1">
      <w:pPr>
        <w:spacing w:after="120" w:line="240" w:lineRule="auto"/>
        <w:rPr>
          <w:rFonts w:ascii="Cambria" w:hAnsi="Cambria"/>
          <w:b/>
        </w:rPr>
      </w:pPr>
      <w:r w:rsidRPr="009F1643">
        <w:rPr>
          <w:rFonts w:ascii="Cambria" w:hAnsi="Cambria"/>
          <w:b/>
        </w:rPr>
        <w:t>Main goal</w:t>
      </w:r>
    </w:p>
    <w:p w:rsidR="00816B90" w:rsidRPr="009F1643" w:rsidRDefault="00816B90" w:rsidP="00F61AB1">
      <w:pPr>
        <w:spacing w:after="120" w:line="240" w:lineRule="auto"/>
        <w:rPr>
          <w:rFonts w:ascii="Cambria" w:hAnsi="Cambria"/>
        </w:rPr>
      </w:pPr>
      <w:r w:rsidRPr="009F1643">
        <w:rPr>
          <w:rFonts w:ascii="Cambria" w:hAnsi="Cambria"/>
        </w:rPr>
        <w:t>The main goal of Telecentre-Europe AISBL is to increase the impact, effectiveness and profile of its members, and thereby improve the quality of life, employability and social and civic participation of the citizens they serve.</w:t>
      </w:r>
    </w:p>
    <w:p w:rsidR="00F61AB1" w:rsidRDefault="00F61AB1" w:rsidP="00F61AB1">
      <w:pPr>
        <w:spacing w:after="120" w:line="240" w:lineRule="auto"/>
        <w:rPr>
          <w:rFonts w:ascii="Cambria" w:hAnsi="Cambria"/>
          <w:b/>
        </w:rPr>
      </w:pPr>
    </w:p>
    <w:p w:rsidR="00816B90" w:rsidRPr="009F1643" w:rsidRDefault="00816B90" w:rsidP="00F61AB1">
      <w:pPr>
        <w:spacing w:after="120" w:line="240" w:lineRule="auto"/>
        <w:rPr>
          <w:rFonts w:ascii="Cambria" w:hAnsi="Cambria"/>
          <w:b/>
        </w:rPr>
      </w:pPr>
      <w:r w:rsidRPr="009F1643">
        <w:rPr>
          <w:rFonts w:ascii="Cambria" w:hAnsi="Cambria"/>
          <w:b/>
        </w:rPr>
        <w:t>Main activities</w:t>
      </w:r>
      <w:r w:rsidR="00431073">
        <w:rPr>
          <w:rFonts w:ascii="Cambria" w:hAnsi="Cambria"/>
          <w:b/>
        </w:rPr>
        <w:t xml:space="preserve"> (Telecentre-Europe Statutes, Article 3.):</w:t>
      </w:r>
    </w:p>
    <w:p w:rsidR="00816B90" w:rsidRPr="009F1643" w:rsidRDefault="00816B90" w:rsidP="00B9720F">
      <w:pPr>
        <w:spacing w:after="120" w:line="240" w:lineRule="auto"/>
        <w:rPr>
          <w:rFonts w:ascii="Cambria" w:hAnsi="Cambria"/>
        </w:rPr>
      </w:pPr>
      <w:r w:rsidRPr="009F1643">
        <w:rPr>
          <w:rFonts w:ascii="Cambria" w:hAnsi="Cambria"/>
        </w:rPr>
        <w:t>The principal activities that Telecentre-Europe AISBL will carry out is as follows</w:t>
      </w:r>
      <w:r w:rsidR="00B9720F">
        <w:rPr>
          <w:rFonts w:ascii="Cambria" w:hAnsi="Cambria"/>
        </w:rPr>
        <w:t>:</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Promote the exchange and sharing of resources, skills, competences an</w:t>
      </w:r>
      <w:r w:rsidR="00B9720F">
        <w:rPr>
          <w:rFonts w:ascii="Cambria" w:hAnsi="Cambria"/>
        </w:rPr>
        <w:t>d knowledge between its members</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 xml:space="preserve">Promote and defend the collective interests of its members to institutional and private </w:t>
      </w:r>
      <w:r w:rsidR="00B9720F">
        <w:rPr>
          <w:rFonts w:ascii="Cambria" w:hAnsi="Cambria"/>
        </w:rPr>
        <w:t>stakeholders, and policy makers</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 xml:space="preserve">Support and inform its members in all matters of an administrative, </w:t>
      </w:r>
      <w:r w:rsidR="00B9720F">
        <w:rPr>
          <w:rFonts w:ascii="Cambria" w:hAnsi="Cambria"/>
        </w:rPr>
        <w:t>operational or technical nature</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 xml:space="preserve">Respond to European and international calls for projects </w:t>
      </w:r>
      <w:r w:rsidR="00B9720F">
        <w:rPr>
          <w:rFonts w:ascii="Cambria" w:hAnsi="Cambria"/>
        </w:rPr>
        <w:t>in the interests of its members</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Organize international events, such as conferences, conventions, seminars, workshops or symposiums related to the scope</w:t>
      </w:r>
      <w:r w:rsidR="00B9720F">
        <w:rPr>
          <w:rFonts w:ascii="Cambria" w:hAnsi="Cambria"/>
        </w:rPr>
        <w:t xml:space="preserve"> and goal of the association</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Contract with members for the delivery of projects or activities related to the sc</w:t>
      </w:r>
      <w:r w:rsidR="00B9720F">
        <w:rPr>
          <w:rFonts w:ascii="Cambria" w:hAnsi="Cambria"/>
        </w:rPr>
        <w:t>ope and goal of the association</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Distribute funding for example through the issuing of grants for projects or activities related to the scope an</w:t>
      </w:r>
      <w:r w:rsidR="00B9720F">
        <w:rPr>
          <w:rFonts w:ascii="Cambria" w:hAnsi="Cambria"/>
        </w:rPr>
        <w:t>d goal of the association</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Commission, undertake, or participate in research related to the sc</w:t>
      </w:r>
      <w:r w:rsidR="00B9720F">
        <w:rPr>
          <w:rFonts w:ascii="Cambria" w:hAnsi="Cambria"/>
        </w:rPr>
        <w:t>ope and goal of the association</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 xml:space="preserve">Support the development and the implementation of European, regional or global information society, technology or other societal </w:t>
      </w:r>
      <w:r w:rsidR="00B9720F">
        <w:rPr>
          <w:rFonts w:ascii="Cambria" w:hAnsi="Cambria"/>
        </w:rPr>
        <w:t>policies</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Help governments, institutions and agencies to understand the needs of citizens with regards to</w:t>
      </w:r>
      <w:r w:rsidR="00B9720F">
        <w:rPr>
          <w:rFonts w:ascii="Cambria" w:hAnsi="Cambria"/>
        </w:rPr>
        <w:t xml:space="preserve"> digital skills and competences</w:t>
      </w:r>
    </w:p>
    <w:p w:rsidR="00816B90" w:rsidRPr="009F1643" w:rsidRDefault="00816B90" w:rsidP="00F61AB1">
      <w:pPr>
        <w:numPr>
          <w:ilvl w:val="0"/>
          <w:numId w:val="14"/>
        </w:numPr>
        <w:spacing w:after="120" w:line="240" w:lineRule="auto"/>
        <w:rPr>
          <w:rFonts w:ascii="Cambria" w:hAnsi="Cambria"/>
        </w:rPr>
      </w:pPr>
      <w:r w:rsidRPr="009F1643">
        <w:rPr>
          <w:rFonts w:ascii="Cambria" w:hAnsi="Cambria"/>
        </w:rPr>
        <w:t>Hold reserves to carry out actions related to the sc</w:t>
      </w:r>
      <w:r w:rsidR="00B9720F">
        <w:rPr>
          <w:rFonts w:ascii="Cambria" w:hAnsi="Cambria"/>
        </w:rPr>
        <w:t>ope and goal of the association</w:t>
      </w:r>
    </w:p>
    <w:p w:rsidR="00DF5C04" w:rsidRDefault="00DF5C04" w:rsidP="00F61AB1">
      <w:pPr>
        <w:spacing w:after="120" w:line="240" w:lineRule="auto"/>
        <w:rPr>
          <w:rFonts w:ascii="Cambria" w:hAnsi="Cambria"/>
        </w:rPr>
      </w:pPr>
    </w:p>
    <w:p w:rsidR="009F1643" w:rsidRDefault="00816B90" w:rsidP="00F61AB1">
      <w:pPr>
        <w:spacing w:after="120" w:line="240" w:lineRule="auto"/>
        <w:rPr>
          <w:rFonts w:ascii="Cambria" w:hAnsi="Cambria"/>
        </w:rPr>
      </w:pPr>
      <w:r w:rsidRPr="009F1643">
        <w:rPr>
          <w:rFonts w:ascii="Cambria" w:hAnsi="Cambria"/>
        </w:rPr>
        <w:t>The Association shall have the right to exercise, alone or in collaboration with third parties, directly or indirectly, all activities related, directly or indirectly, to its purpose not only in Belgium, but also abroad.</w:t>
      </w:r>
    </w:p>
    <w:p w:rsidR="002F60D5" w:rsidRPr="009F1643" w:rsidRDefault="002F60D5" w:rsidP="009F1643">
      <w:pPr>
        <w:spacing w:after="60" w:line="240" w:lineRule="auto"/>
      </w:pPr>
    </w:p>
    <w:p w:rsidR="00DF5C04" w:rsidRDefault="00DF5C04" w:rsidP="003768D9">
      <w:pPr>
        <w:jc w:val="both"/>
        <w:rPr>
          <w:rFonts w:ascii="Cambria" w:hAnsi="Cambria"/>
          <w:b/>
          <w:color w:val="1F497D"/>
          <w:szCs w:val="24"/>
          <w:lang w:val="en-GB"/>
        </w:rPr>
      </w:pPr>
    </w:p>
    <w:p w:rsidR="00DF5C04" w:rsidRDefault="00DF5C04" w:rsidP="003768D9">
      <w:pPr>
        <w:jc w:val="both"/>
        <w:rPr>
          <w:rFonts w:ascii="Cambria" w:hAnsi="Cambria"/>
          <w:b/>
          <w:color w:val="1F497D"/>
          <w:szCs w:val="24"/>
          <w:lang w:val="en-GB"/>
        </w:rPr>
      </w:pPr>
    </w:p>
    <w:p w:rsidR="00DF5C04" w:rsidRDefault="00DF5C04" w:rsidP="003768D9">
      <w:pPr>
        <w:jc w:val="both"/>
        <w:rPr>
          <w:rFonts w:ascii="Cambria" w:hAnsi="Cambria"/>
          <w:b/>
          <w:color w:val="1F497D"/>
          <w:szCs w:val="24"/>
          <w:lang w:val="en-GB"/>
        </w:rPr>
      </w:pPr>
    </w:p>
    <w:p w:rsidR="00DF5C04" w:rsidRDefault="00DF5C04" w:rsidP="003768D9">
      <w:pPr>
        <w:jc w:val="both"/>
        <w:rPr>
          <w:rFonts w:ascii="Cambria" w:hAnsi="Cambria"/>
          <w:b/>
          <w:color w:val="1F497D"/>
          <w:szCs w:val="24"/>
          <w:lang w:val="en-GB"/>
        </w:rPr>
      </w:pPr>
    </w:p>
    <w:p w:rsidR="00DF5C04" w:rsidRDefault="00DF5C04" w:rsidP="003768D9">
      <w:pPr>
        <w:jc w:val="both"/>
        <w:rPr>
          <w:rFonts w:ascii="Cambria" w:hAnsi="Cambria"/>
          <w:b/>
          <w:color w:val="1F497D"/>
          <w:szCs w:val="24"/>
          <w:lang w:val="en-GB"/>
        </w:rPr>
      </w:pPr>
    </w:p>
    <w:p w:rsidR="00DF5C04" w:rsidRDefault="00F61AB1" w:rsidP="00F61AB1">
      <w:pPr>
        <w:pStyle w:val="Heading1"/>
        <w:rPr>
          <w:lang w:val="en-GB"/>
        </w:rPr>
      </w:pPr>
      <w:r>
        <w:rPr>
          <w:lang w:val="en-GB"/>
        </w:rPr>
        <w:t>MEMBERSHIP</w:t>
      </w:r>
    </w:p>
    <w:p w:rsidR="004C52C9" w:rsidRPr="008258C8" w:rsidRDefault="004C52C9" w:rsidP="004C52C9">
      <w:pPr>
        <w:ind w:left="792"/>
        <w:contextualSpacing/>
        <w:jc w:val="both"/>
        <w:rPr>
          <w:rFonts w:ascii="Cambria" w:eastAsia="Century Gothic" w:hAnsi="Cambria"/>
          <w:iCs/>
          <w:lang w:val="en-GB"/>
        </w:rPr>
      </w:pPr>
    </w:p>
    <w:p w:rsidR="004C52C9" w:rsidRPr="008258C8" w:rsidRDefault="004C52C9" w:rsidP="004C52C9">
      <w:pPr>
        <w:numPr>
          <w:ilvl w:val="0"/>
          <w:numId w:val="15"/>
        </w:numPr>
        <w:contextualSpacing/>
        <w:jc w:val="both"/>
        <w:rPr>
          <w:rFonts w:ascii="Cambria" w:eastAsia="Century Gothic" w:hAnsi="Cambria"/>
          <w:iCs/>
          <w:lang w:val="en-GB"/>
        </w:rPr>
      </w:pPr>
      <w:r w:rsidRPr="008258C8">
        <w:rPr>
          <w:rFonts w:ascii="Cambria" w:eastAsia="Century Gothic" w:hAnsi="Cambria"/>
          <w:iCs/>
          <w:lang w:val="en-GB"/>
        </w:rPr>
        <w:t>Membership status</w:t>
      </w:r>
    </w:p>
    <w:p w:rsidR="004C52C9" w:rsidRPr="008258C8" w:rsidRDefault="004C52C9" w:rsidP="004C52C9">
      <w:pPr>
        <w:contextualSpacing/>
        <w:jc w:val="both"/>
        <w:rPr>
          <w:rFonts w:ascii="Cambria" w:eastAsia="Century Gothic" w:hAnsi="Cambria"/>
          <w:iCs/>
          <w:lang w:val="en-GB"/>
        </w:rPr>
      </w:pPr>
    </w:p>
    <w:p w:rsidR="004C52C9" w:rsidRPr="008258C8" w:rsidRDefault="004C52C9" w:rsidP="004C52C9">
      <w:pPr>
        <w:contextualSpacing/>
        <w:jc w:val="both"/>
        <w:rPr>
          <w:rFonts w:ascii="Cambria" w:eastAsia="Century Gothic" w:hAnsi="Cambria"/>
          <w:iCs/>
          <w:lang w:val="en-GB"/>
        </w:rPr>
      </w:pPr>
      <w:r w:rsidRPr="008258C8">
        <w:rPr>
          <w:rFonts w:ascii="Cambria" w:eastAsia="Century Gothic" w:hAnsi="Cambria"/>
          <w:iCs/>
          <w:lang w:val="en-GB"/>
        </w:rPr>
        <w:t>Telecentre-Europe is composed of members and associated members who share the aims and objectives of the association. Each member, except for associated members, has one vote on each resolution or any other decision making process in the General Assembly. Associated members only have an advisory voice.</w:t>
      </w:r>
    </w:p>
    <w:p w:rsidR="004C52C9" w:rsidRPr="008258C8" w:rsidRDefault="004C52C9" w:rsidP="004C52C9">
      <w:pPr>
        <w:contextualSpacing/>
        <w:jc w:val="both"/>
        <w:rPr>
          <w:rFonts w:ascii="Cambria" w:eastAsia="Century Gothic" w:hAnsi="Cambria"/>
          <w:iCs/>
          <w:lang w:val="en-GB"/>
        </w:rPr>
      </w:pPr>
    </w:p>
    <w:p w:rsidR="004C52C9" w:rsidRPr="008258C8" w:rsidRDefault="004C52C9" w:rsidP="004C52C9">
      <w:pPr>
        <w:numPr>
          <w:ilvl w:val="1"/>
          <w:numId w:val="15"/>
        </w:numPr>
        <w:contextualSpacing/>
        <w:jc w:val="both"/>
        <w:rPr>
          <w:rFonts w:ascii="Cambria" w:eastAsia="Century Gothic" w:hAnsi="Cambria"/>
          <w:iCs/>
          <w:lang w:val="en-GB"/>
        </w:rPr>
      </w:pPr>
      <w:r w:rsidRPr="008258C8">
        <w:rPr>
          <w:rFonts w:ascii="Cambria" w:eastAsia="Century Gothic" w:hAnsi="Cambria"/>
          <w:iCs/>
          <w:lang w:val="en-GB"/>
        </w:rPr>
        <w:t>Members</w:t>
      </w:r>
    </w:p>
    <w:p w:rsidR="0005429E" w:rsidRPr="0005429E" w:rsidRDefault="004C52C9" w:rsidP="0005429E">
      <w:pPr>
        <w:ind w:left="720"/>
        <w:contextualSpacing/>
        <w:jc w:val="both"/>
        <w:rPr>
          <w:rFonts w:ascii="Cambria" w:eastAsia="Century Gothic" w:hAnsi="Cambria"/>
          <w:iCs/>
          <w:lang w:val="en-GB"/>
        </w:rPr>
      </w:pPr>
      <w:r w:rsidRPr="008258C8">
        <w:rPr>
          <w:rFonts w:ascii="Cambria" w:eastAsia="Century Gothic" w:hAnsi="Cambria"/>
          <w:iCs/>
          <w:lang w:val="en-GB"/>
        </w:rPr>
        <w:t>Organizations (NGOs, governmental bodies, social enterprises) geographically located in the European zone whose profiles fit under one or more categories below:</w:t>
      </w:r>
    </w:p>
    <w:p w:rsidR="0005429E" w:rsidRPr="0005429E" w:rsidRDefault="0005429E" w:rsidP="0005429E">
      <w:pPr>
        <w:ind w:left="720"/>
        <w:contextualSpacing/>
        <w:jc w:val="both"/>
        <w:rPr>
          <w:rFonts w:ascii="Cambria" w:eastAsia="Century Gothic" w:hAnsi="Cambria"/>
          <w:iCs/>
          <w:lang w:val="en-GB"/>
        </w:rPr>
      </w:pPr>
      <w:r w:rsidRPr="0005429E">
        <w:rPr>
          <w:rFonts w:ascii="Cambria" w:eastAsia="Century Gothic" w:hAnsi="Cambria"/>
          <w:iCs/>
          <w:lang w:val="en-GB"/>
        </w:rPr>
        <w:t xml:space="preserve">• Individual telecentres that don’t belong to formally established networks of telecentres </w:t>
      </w:r>
    </w:p>
    <w:p w:rsidR="0005429E" w:rsidRPr="0005429E" w:rsidRDefault="0005429E" w:rsidP="0005429E">
      <w:pPr>
        <w:ind w:left="720"/>
        <w:contextualSpacing/>
        <w:jc w:val="both"/>
        <w:rPr>
          <w:rFonts w:ascii="Cambria" w:eastAsia="Century Gothic" w:hAnsi="Cambria"/>
          <w:iCs/>
          <w:lang w:val="en-GB"/>
        </w:rPr>
      </w:pPr>
      <w:r w:rsidRPr="0005429E">
        <w:rPr>
          <w:rFonts w:ascii="Cambria" w:eastAsia="Century Gothic" w:hAnsi="Cambria"/>
          <w:iCs/>
          <w:lang w:val="en-GB"/>
        </w:rPr>
        <w:t>• Formally established networks of telecentres</w:t>
      </w:r>
    </w:p>
    <w:p w:rsidR="0005429E" w:rsidRPr="0005429E" w:rsidRDefault="0005429E" w:rsidP="0005429E">
      <w:pPr>
        <w:ind w:left="720"/>
        <w:contextualSpacing/>
        <w:jc w:val="both"/>
        <w:rPr>
          <w:rFonts w:ascii="Cambria" w:eastAsia="Century Gothic" w:hAnsi="Cambria"/>
          <w:iCs/>
          <w:lang w:val="en-GB"/>
        </w:rPr>
      </w:pPr>
      <w:r w:rsidRPr="0005429E">
        <w:rPr>
          <w:rFonts w:ascii="Cambria" w:eastAsia="Century Gothic" w:hAnsi="Cambria"/>
          <w:iCs/>
          <w:lang w:val="en-GB"/>
        </w:rPr>
        <w:t>• Organizations running informal networks of telecentres</w:t>
      </w:r>
    </w:p>
    <w:p w:rsidR="004C52C9" w:rsidRPr="008258C8" w:rsidRDefault="0005429E" w:rsidP="0005429E">
      <w:pPr>
        <w:ind w:left="720"/>
        <w:contextualSpacing/>
        <w:jc w:val="both"/>
        <w:rPr>
          <w:rFonts w:ascii="Cambria" w:eastAsia="Century Gothic" w:hAnsi="Cambria"/>
          <w:iCs/>
          <w:lang w:val="en-GB"/>
        </w:rPr>
      </w:pPr>
      <w:r w:rsidRPr="0005429E">
        <w:rPr>
          <w:rFonts w:ascii="Cambria" w:eastAsia="Century Gothic" w:hAnsi="Cambria"/>
          <w:iCs/>
          <w:lang w:val="en-GB"/>
        </w:rPr>
        <w:t>• Organizations running, supporting or whose work directly impact telecentres</w:t>
      </w:r>
    </w:p>
    <w:p w:rsidR="004C52C9" w:rsidRPr="008258C8" w:rsidRDefault="004C52C9" w:rsidP="004C52C9">
      <w:pPr>
        <w:numPr>
          <w:ilvl w:val="1"/>
          <w:numId w:val="15"/>
        </w:numPr>
        <w:contextualSpacing/>
        <w:jc w:val="both"/>
        <w:rPr>
          <w:rFonts w:ascii="Cambria" w:eastAsia="Century Gothic" w:hAnsi="Cambria"/>
          <w:iCs/>
          <w:lang w:val="en-GB"/>
        </w:rPr>
      </w:pPr>
      <w:r w:rsidRPr="008258C8">
        <w:rPr>
          <w:rFonts w:ascii="Cambria" w:eastAsia="Century Gothic" w:hAnsi="Cambria"/>
          <w:iCs/>
          <w:lang w:val="en-GB"/>
        </w:rPr>
        <w:t>Associate members</w:t>
      </w:r>
    </w:p>
    <w:p w:rsidR="004C52C9" w:rsidRPr="008258C8" w:rsidRDefault="0005429E" w:rsidP="004C52C9">
      <w:pPr>
        <w:ind w:left="720"/>
        <w:contextualSpacing/>
        <w:rPr>
          <w:rFonts w:ascii="Cambria" w:eastAsia="Century Gothic" w:hAnsi="Cambria"/>
          <w:iCs/>
          <w:lang w:val="en-GB"/>
        </w:rPr>
      </w:pPr>
      <w:r w:rsidRPr="0005429E">
        <w:rPr>
          <w:rFonts w:ascii="Cambria" w:eastAsia="Century Gothic" w:hAnsi="Cambria"/>
          <w:iCs/>
          <w:lang w:val="en-GB"/>
        </w:rPr>
        <w:t>Any person, association, organisation, institution or company wishing to support the activities o</w:t>
      </w:r>
      <w:r w:rsidR="00B9720F">
        <w:rPr>
          <w:rFonts w:ascii="Cambria" w:eastAsia="Century Gothic" w:hAnsi="Cambria"/>
          <w:iCs/>
          <w:lang w:val="en-GB"/>
        </w:rPr>
        <w:t>f Telecentre-Europe. Associate m</w:t>
      </w:r>
      <w:r w:rsidRPr="0005429E">
        <w:rPr>
          <w:rFonts w:ascii="Cambria" w:eastAsia="Century Gothic" w:hAnsi="Cambria"/>
          <w:iCs/>
          <w:lang w:val="en-GB"/>
        </w:rPr>
        <w:t>embers can be located within, or outside of the European zone.</w:t>
      </w:r>
    </w:p>
    <w:p w:rsidR="004C52C9" w:rsidRPr="008258C8" w:rsidRDefault="004C52C9" w:rsidP="004C52C9">
      <w:pPr>
        <w:ind w:left="792"/>
        <w:contextualSpacing/>
        <w:jc w:val="both"/>
        <w:rPr>
          <w:rFonts w:ascii="Cambria" w:eastAsia="Century Gothic" w:hAnsi="Cambria"/>
          <w:iCs/>
          <w:lang w:val="en-GB"/>
        </w:rPr>
      </w:pPr>
    </w:p>
    <w:p w:rsidR="004C52C9" w:rsidRPr="008258C8" w:rsidRDefault="004C52C9" w:rsidP="004C52C9">
      <w:pPr>
        <w:numPr>
          <w:ilvl w:val="0"/>
          <w:numId w:val="15"/>
        </w:numPr>
        <w:contextualSpacing/>
        <w:jc w:val="both"/>
        <w:rPr>
          <w:rFonts w:ascii="Cambria" w:eastAsia="Century Gothic" w:hAnsi="Cambria"/>
          <w:iCs/>
          <w:lang w:val="en-GB"/>
        </w:rPr>
      </w:pPr>
      <w:r w:rsidRPr="008258C8">
        <w:rPr>
          <w:rFonts w:ascii="Cambria" w:eastAsia="Century Gothic" w:hAnsi="Cambria"/>
          <w:iCs/>
          <w:lang w:val="en-GB"/>
        </w:rPr>
        <w:t>Benefits</w:t>
      </w:r>
    </w:p>
    <w:p w:rsidR="004C52C9" w:rsidRPr="008258C8" w:rsidRDefault="004C52C9" w:rsidP="004C52C9">
      <w:pPr>
        <w:numPr>
          <w:ilvl w:val="1"/>
          <w:numId w:val="15"/>
        </w:numPr>
        <w:contextualSpacing/>
        <w:jc w:val="both"/>
        <w:rPr>
          <w:rFonts w:ascii="Cambria" w:eastAsia="Century Gothic" w:hAnsi="Cambria"/>
          <w:iCs/>
          <w:lang w:val="en-GB"/>
        </w:rPr>
      </w:pPr>
      <w:r w:rsidRPr="008258C8">
        <w:rPr>
          <w:rFonts w:ascii="Cambria" w:eastAsia="Century Gothic" w:hAnsi="Cambria"/>
          <w:iCs/>
          <w:lang w:val="en-GB"/>
        </w:rPr>
        <w:t>Networking and knowledge sharing - TE facilitates</w:t>
      </w:r>
      <w:r w:rsidR="00B9720F">
        <w:rPr>
          <w:rFonts w:ascii="Cambria" w:eastAsia="Century Gothic" w:hAnsi="Cambria"/>
          <w:iCs/>
          <w:lang w:val="en-GB"/>
        </w:rPr>
        <w:t xml:space="preserve"> </w:t>
      </w:r>
      <w:r w:rsidRPr="008258C8">
        <w:rPr>
          <w:rFonts w:ascii="Cambria" w:eastAsia="Century Gothic" w:hAnsi="Cambria"/>
          <w:iCs/>
          <w:lang w:val="en-GB"/>
        </w:rPr>
        <w:t>/</w:t>
      </w:r>
      <w:r w:rsidR="00B9720F">
        <w:rPr>
          <w:rFonts w:ascii="Cambria" w:eastAsia="Century Gothic" w:hAnsi="Cambria"/>
          <w:iCs/>
          <w:lang w:val="en-GB"/>
        </w:rPr>
        <w:t xml:space="preserve"> </w:t>
      </w:r>
      <w:r w:rsidRPr="008258C8">
        <w:rPr>
          <w:rFonts w:ascii="Cambria" w:eastAsia="Century Gothic" w:hAnsi="Cambria"/>
          <w:iCs/>
          <w:lang w:val="en-GB"/>
        </w:rPr>
        <w:t xml:space="preserve">acts as a broker for the sharing </w:t>
      </w:r>
      <w:r w:rsidR="00B9720F" w:rsidRPr="008258C8">
        <w:rPr>
          <w:rFonts w:ascii="Cambria" w:eastAsia="Century Gothic" w:hAnsi="Cambria"/>
          <w:iCs/>
          <w:lang w:val="en-GB"/>
        </w:rPr>
        <w:t xml:space="preserve">of products, knowledge and expertise </w:t>
      </w:r>
      <w:r w:rsidR="00B9720F">
        <w:rPr>
          <w:rFonts w:ascii="Cambria" w:eastAsia="Century Gothic" w:hAnsi="Cambria"/>
          <w:iCs/>
          <w:lang w:val="en-GB"/>
        </w:rPr>
        <w:t>among</w:t>
      </w:r>
      <w:r w:rsidRPr="008258C8">
        <w:rPr>
          <w:rFonts w:ascii="Cambria" w:eastAsia="Century Gothic" w:hAnsi="Cambria"/>
          <w:iCs/>
          <w:lang w:val="en-GB"/>
        </w:rPr>
        <w:t xml:space="preserve"> our members </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t>Access to small grants for systematic staff &amp; volunteer exchange scheme</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t xml:space="preserve">Access to TE’s online professional community, newsletter, Facebook, LinkedIn, and all other online networking facilities </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t xml:space="preserve">Subsidised participation at the TE annual </w:t>
      </w:r>
      <w:r w:rsidR="00B9720F">
        <w:rPr>
          <w:rFonts w:ascii="Cambria" w:eastAsia="Century Gothic" w:hAnsi="Cambria"/>
          <w:iCs/>
          <w:lang w:val="en-GB"/>
        </w:rPr>
        <w:t>conference</w:t>
      </w:r>
      <w:r w:rsidRPr="008258C8">
        <w:rPr>
          <w:rFonts w:ascii="Cambria" w:eastAsia="Century Gothic" w:hAnsi="Cambria"/>
          <w:iCs/>
          <w:lang w:val="en-GB"/>
        </w:rPr>
        <w:t xml:space="preserve"> and GA meetings</w:t>
      </w:r>
    </w:p>
    <w:p w:rsidR="004C52C9" w:rsidRPr="008258C8" w:rsidRDefault="004C52C9" w:rsidP="004C52C9">
      <w:pPr>
        <w:numPr>
          <w:ilvl w:val="1"/>
          <w:numId w:val="15"/>
        </w:numPr>
        <w:contextualSpacing/>
        <w:jc w:val="both"/>
        <w:rPr>
          <w:rFonts w:ascii="Cambria" w:eastAsia="Century Gothic" w:hAnsi="Cambria"/>
          <w:iCs/>
          <w:lang w:val="en-GB"/>
        </w:rPr>
      </w:pPr>
      <w:r w:rsidRPr="008258C8">
        <w:rPr>
          <w:rFonts w:ascii="Cambria" w:eastAsia="Century Gothic" w:hAnsi="Cambria"/>
          <w:iCs/>
          <w:lang w:val="en-GB"/>
        </w:rPr>
        <w:t>Advocacy at European level</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t>Increased visibility at European level and enhanced credibility at national level through:</w:t>
      </w:r>
    </w:p>
    <w:p w:rsidR="004C52C9" w:rsidRPr="008258C8" w:rsidRDefault="004C52C9" w:rsidP="004C52C9">
      <w:pPr>
        <w:numPr>
          <w:ilvl w:val="0"/>
          <w:numId w:val="16"/>
        </w:numPr>
        <w:contextualSpacing/>
        <w:jc w:val="both"/>
        <w:rPr>
          <w:rFonts w:ascii="Cambria" w:eastAsia="Century Gothic" w:hAnsi="Cambria"/>
          <w:iCs/>
          <w:lang w:val="en-GB"/>
        </w:rPr>
      </w:pPr>
      <w:r w:rsidRPr="008258C8">
        <w:rPr>
          <w:rFonts w:ascii="Cambria" w:eastAsia="Century Gothic" w:hAnsi="Cambria"/>
          <w:iCs/>
          <w:lang w:val="en-GB"/>
        </w:rPr>
        <w:t xml:space="preserve">TE promotional materials </w:t>
      </w:r>
    </w:p>
    <w:p w:rsidR="004C52C9" w:rsidRPr="008258C8" w:rsidRDefault="004C52C9" w:rsidP="004C52C9">
      <w:pPr>
        <w:numPr>
          <w:ilvl w:val="0"/>
          <w:numId w:val="16"/>
        </w:numPr>
        <w:contextualSpacing/>
        <w:jc w:val="both"/>
        <w:rPr>
          <w:rFonts w:ascii="Cambria" w:eastAsia="Century Gothic" w:hAnsi="Cambria"/>
          <w:iCs/>
          <w:lang w:val="en-GB"/>
        </w:rPr>
      </w:pPr>
      <w:r w:rsidRPr="008258C8">
        <w:rPr>
          <w:rFonts w:ascii="Cambria" w:eastAsia="Century Gothic" w:hAnsi="Cambria"/>
          <w:iCs/>
          <w:lang w:val="en-GB"/>
        </w:rPr>
        <w:t xml:space="preserve">Participation in various relevant events of TE or members (facilitated by TE) </w:t>
      </w:r>
    </w:p>
    <w:p w:rsidR="004C52C9" w:rsidRPr="008258C8" w:rsidRDefault="004C52C9" w:rsidP="004C52C9">
      <w:pPr>
        <w:numPr>
          <w:ilvl w:val="0"/>
          <w:numId w:val="16"/>
        </w:numPr>
        <w:contextualSpacing/>
        <w:jc w:val="both"/>
        <w:rPr>
          <w:rFonts w:ascii="Cambria" w:eastAsia="Century Gothic" w:hAnsi="Cambria"/>
          <w:iCs/>
          <w:lang w:val="en-GB"/>
        </w:rPr>
      </w:pPr>
      <w:r w:rsidRPr="008258C8">
        <w:rPr>
          <w:rFonts w:ascii="Cambria" w:eastAsia="Century Gothic" w:hAnsi="Cambria"/>
          <w:iCs/>
          <w:lang w:val="en-GB"/>
        </w:rPr>
        <w:t>Members’ profiles on the TE website</w:t>
      </w:r>
    </w:p>
    <w:p w:rsidR="004C52C9" w:rsidRPr="008258C8" w:rsidRDefault="004C52C9" w:rsidP="004C52C9">
      <w:pPr>
        <w:numPr>
          <w:ilvl w:val="0"/>
          <w:numId w:val="16"/>
        </w:numPr>
        <w:contextualSpacing/>
        <w:jc w:val="both"/>
        <w:rPr>
          <w:rFonts w:ascii="Cambria" w:eastAsia="Century Gothic" w:hAnsi="Cambria"/>
          <w:iCs/>
          <w:lang w:val="en-GB"/>
        </w:rPr>
      </w:pPr>
      <w:r w:rsidRPr="008258C8">
        <w:rPr>
          <w:rFonts w:ascii="Cambria" w:eastAsia="Century Gothic" w:hAnsi="Cambria"/>
          <w:iCs/>
          <w:lang w:val="en-GB"/>
        </w:rPr>
        <w:t>News on national activities on the TE website and in social media channels</w:t>
      </w:r>
    </w:p>
    <w:p w:rsidR="004C52C9" w:rsidRPr="008258C8" w:rsidRDefault="004C52C9" w:rsidP="004C52C9">
      <w:pPr>
        <w:numPr>
          <w:ilvl w:val="0"/>
          <w:numId w:val="16"/>
        </w:numPr>
        <w:contextualSpacing/>
        <w:jc w:val="both"/>
        <w:rPr>
          <w:rFonts w:ascii="Cambria" w:eastAsia="Century Gothic" w:hAnsi="Cambria"/>
          <w:iCs/>
          <w:lang w:val="en-GB"/>
        </w:rPr>
      </w:pPr>
      <w:r w:rsidRPr="008258C8">
        <w:rPr>
          <w:rFonts w:ascii="Cambria" w:eastAsia="Century Gothic" w:hAnsi="Cambria"/>
          <w:iCs/>
          <w:lang w:val="en-GB"/>
        </w:rPr>
        <w:t xml:space="preserve">Facilitated participation in European researches and studies relevant to members  </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t>Access to an inward investment broker service: hardware and software donations, ICT product testing, training &amp; student volunteer placement, funding / grants screening</w:t>
      </w:r>
    </w:p>
    <w:p w:rsidR="004C52C9" w:rsidRPr="008258C8" w:rsidRDefault="004C52C9" w:rsidP="004C52C9">
      <w:pPr>
        <w:numPr>
          <w:ilvl w:val="1"/>
          <w:numId w:val="15"/>
        </w:numPr>
        <w:contextualSpacing/>
        <w:jc w:val="both"/>
        <w:rPr>
          <w:rFonts w:ascii="Cambria" w:eastAsia="Century Gothic" w:hAnsi="Cambria"/>
          <w:iCs/>
          <w:lang w:val="en-GB"/>
        </w:rPr>
      </w:pPr>
      <w:r w:rsidRPr="008258C8">
        <w:rPr>
          <w:rFonts w:ascii="Cambria" w:eastAsia="Century Gothic" w:hAnsi="Cambria"/>
          <w:iCs/>
          <w:lang w:val="en-GB"/>
        </w:rPr>
        <w:t xml:space="preserve">Capacity building </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t>Access to training programmes organized by TE or its partners on various topics of interest</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lastRenderedPageBreak/>
        <w:t>Access to grants for organizing / developing national activities regarding some European campaigns / projects (e.g. Get online week)</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t>Access to Europea</w:t>
      </w:r>
      <w:r w:rsidR="00B9720F">
        <w:rPr>
          <w:rFonts w:ascii="Cambria" w:eastAsia="Century Gothic" w:hAnsi="Cambria"/>
          <w:iCs/>
          <w:lang w:val="en-GB"/>
        </w:rPr>
        <w:t>n funded projects in consortia</w:t>
      </w:r>
      <w:r w:rsidRPr="008258C8">
        <w:rPr>
          <w:rFonts w:ascii="Cambria" w:eastAsia="Century Gothic" w:hAnsi="Cambria"/>
          <w:iCs/>
          <w:lang w:val="en-GB"/>
        </w:rPr>
        <w:t xml:space="preserve"> built / facilitated by TE</w:t>
      </w:r>
    </w:p>
    <w:p w:rsidR="004C52C9" w:rsidRPr="008258C8" w:rsidRDefault="004C52C9" w:rsidP="004C52C9">
      <w:pPr>
        <w:numPr>
          <w:ilvl w:val="2"/>
          <w:numId w:val="15"/>
        </w:numPr>
        <w:contextualSpacing/>
        <w:jc w:val="both"/>
        <w:rPr>
          <w:rFonts w:ascii="Cambria" w:eastAsia="Century Gothic" w:hAnsi="Cambria"/>
          <w:iCs/>
          <w:lang w:val="en-GB"/>
        </w:rPr>
      </w:pPr>
      <w:r w:rsidRPr="008258C8">
        <w:rPr>
          <w:rFonts w:ascii="Cambria" w:eastAsia="Century Gothic" w:hAnsi="Cambria"/>
          <w:iCs/>
          <w:lang w:val="en-GB"/>
        </w:rPr>
        <w:t>Access to award schemes developed by TE for its members within events and campaigns (e.g. TE Awards 2012)</w:t>
      </w:r>
    </w:p>
    <w:p w:rsidR="004C52C9" w:rsidRPr="008258C8" w:rsidRDefault="004C52C9" w:rsidP="004C52C9">
      <w:pPr>
        <w:contextualSpacing/>
        <w:jc w:val="both"/>
        <w:rPr>
          <w:rFonts w:ascii="Cambria" w:eastAsia="Century Gothic" w:hAnsi="Cambria"/>
          <w:iCs/>
          <w:lang w:val="en-GB"/>
        </w:rPr>
      </w:pPr>
    </w:p>
    <w:p w:rsidR="004C52C9" w:rsidRPr="008258C8" w:rsidRDefault="004C52C9" w:rsidP="004C52C9">
      <w:pPr>
        <w:numPr>
          <w:ilvl w:val="0"/>
          <w:numId w:val="15"/>
        </w:numPr>
        <w:contextualSpacing/>
        <w:jc w:val="both"/>
        <w:rPr>
          <w:rFonts w:ascii="Cambria" w:eastAsia="Century Gothic" w:hAnsi="Cambria"/>
          <w:iCs/>
          <w:lang w:val="en-GB"/>
        </w:rPr>
      </w:pPr>
      <w:r w:rsidRPr="008258C8">
        <w:rPr>
          <w:rFonts w:ascii="Cambria" w:eastAsia="Century Gothic" w:hAnsi="Cambria"/>
          <w:iCs/>
          <w:lang w:val="en-GB"/>
        </w:rPr>
        <w:t>Responsibilities</w:t>
      </w:r>
    </w:p>
    <w:p w:rsidR="004C52C9" w:rsidRPr="008258C8" w:rsidRDefault="004C52C9" w:rsidP="004C52C9">
      <w:pPr>
        <w:numPr>
          <w:ilvl w:val="1"/>
          <w:numId w:val="15"/>
        </w:numPr>
        <w:contextualSpacing/>
        <w:jc w:val="both"/>
        <w:rPr>
          <w:rFonts w:ascii="Cambria" w:eastAsia="Century Gothic" w:hAnsi="Cambria"/>
          <w:iCs/>
          <w:lang w:val="en-GB"/>
        </w:rPr>
      </w:pPr>
      <w:r w:rsidRPr="008258C8">
        <w:rPr>
          <w:rFonts w:ascii="Cambria" w:eastAsia="Century Gothic" w:hAnsi="Cambria"/>
          <w:iCs/>
          <w:lang w:val="en-GB"/>
        </w:rPr>
        <w:t>Telecentre-Europe</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 xml:space="preserve">Provides the Member with access to the community network through online and face-to-face meetings (e.g. annual summit, </w:t>
      </w:r>
      <w:r w:rsidR="00B9720F">
        <w:rPr>
          <w:rFonts w:ascii="Cambria" w:eastAsia="Century Gothic" w:hAnsi="Cambria"/>
          <w:iCs/>
          <w:lang w:val="en-GB"/>
        </w:rPr>
        <w:t>membership meeting)</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Provides the Member with access to its online resources, including the online community, resource b</w:t>
      </w:r>
      <w:r w:rsidR="00B9720F">
        <w:rPr>
          <w:rFonts w:ascii="Cambria" w:eastAsia="Century Gothic" w:hAnsi="Cambria"/>
          <w:iCs/>
          <w:lang w:val="en-GB"/>
        </w:rPr>
        <w:t>anks, and social media channels</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 xml:space="preserve">Assures involvement of the Member in its </w:t>
      </w:r>
      <w:r w:rsidR="00B9720F">
        <w:rPr>
          <w:rFonts w:ascii="Cambria" w:eastAsia="Century Gothic" w:hAnsi="Cambria"/>
          <w:iCs/>
          <w:lang w:val="en-GB"/>
        </w:rPr>
        <w:t>campaigns, events, and projects</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Provides priority to the Member to access grants, awards</w:t>
      </w:r>
      <w:r w:rsidR="00B9720F">
        <w:rPr>
          <w:rFonts w:ascii="Cambria" w:eastAsia="Century Gothic" w:hAnsi="Cambria"/>
          <w:iCs/>
          <w:lang w:val="en-GB"/>
        </w:rPr>
        <w:t>, and partnership opportunities</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Promotes and facilitates knowledge and</w:t>
      </w:r>
      <w:r w:rsidR="00B9720F">
        <w:rPr>
          <w:rFonts w:ascii="Cambria" w:eastAsia="Century Gothic" w:hAnsi="Cambria"/>
          <w:iCs/>
          <w:lang w:val="en-GB"/>
        </w:rPr>
        <w:t xml:space="preserve"> resource sharing among members</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Offers the Member to make use of the Telecentre</w:t>
      </w:r>
      <w:r w:rsidRPr="008258C8">
        <w:rPr>
          <w:rFonts w:ascii="Cambria" w:eastAsia="Century Gothic" w:hAnsi="Cambria" w:cs="Cambria Math"/>
          <w:iCs/>
          <w:lang w:val="en-GB"/>
        </w:rPr>
        <w:t>‐</w:t>
      </w:r>
      <w:r w:rsidR="00B9720F">
        <w:rPr>
          <w:rFonts w:ascii="Cambria" w:eastAsia="Century Gothic" w:hAnsi="Cambria" w:cs="Century Gothic"/>
          <w:iCs/>
          <w:lang w:val="en-GB"/>
        </w:rPr>
        <w:t>Europe brand</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Conducts advocacy at European level and supports the advocacy efforts of the Membe</w:t>
      </w:r>
      <w:r w:rsidR="00B9720F">
        <w:rPr>
          <w:rFonts w:ascii="Cambria" w:eastAsia="Century Gothic" w:hAnsi="Cambria"/>
          <w:iCs/>
          <w:lang w:val="en-GB"/>
        </w:rPr>
        <w:t>r at national or regional level</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cs="Century Gothic"/>
          <w:iCs/>
          <w:lang w:val="en-GB"/>
        </w:rPr>
        <w:t>Represents the interest of the Member at various relevant European and global events, and where possible, facilitates the participat</w:t>
      </w:r>
      <w:r w:rsidRPr="008258C8">
        <w:rPr>
          <w:rFonts w:ascii="Cambria" w:eastAsia="Century Gothic" w:hAnsi="Cambria"/>
          <w:iCs/>
          <w:lang w:val="en-GB"/>
        </w:rPr>
        <w:t>i</w:t>
      </w:r>
      <w:r w:rsidR="00B9720F">
        <w:rPr>
          <w:rFonts w:ascii="Cambria" w:eastAsia="Century Gothic" w:hAnsi="Cambria"/>
          <w:iCs/>
          <w:lang w:val="en-GB"/>
        </w:rPr>
        <w:t>on of the Member at such events</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Offers an inward investment broker service: hardware and software donations, ICT product testing, trainin</w:t>
      </w:r>
      <w:r w:rsidR="00B9720F">
        <w:rPr>
          <w:rFonts w:ascii="Cambria" w:eastAsia="Century Gothic" w:hAnsi="Cambria"/>
          <w:iCs/>
          <w:lang w:val="en-GB"/>
        </w:rPr>
        <w:t>g &amp; student volunteer placement</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 xml:space="preserve">Provides a channel to services/products from stakeholders or partners: libraries, resources, funding &amp; award </w:t>
      </w:r>
      <w:r w:rsidR="00B9720F">
        <w:rPr>
          <w:rFonts w:ascii="Cambria" w:eastAsia="Century Gothic" w:hAnsi="Cambria"/>
          <w:iCs/>
          <w:lang w:val="en-GB"/>
        </w:rPr>
        <w:t>opportunities screening service</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Provides the Member with capacity-building consultancy through a ‘budd</w:t>
      </w:r>
      <w:r w:rsidR="00B9720F">
        <w:rPr>
          <w:rFonts w:ascii="Cambria" w:eastAsia="Century Gothic" w:hAnsi="Cambria"/>
          <w:iCs/>
          <w:lang w:val="en-GB"/>
        </w:rPr>
        <w:t>y brokerage’ or peer assistance</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Organizes open consultations among members when the M</w:t>
      </w:r>
      <w:r w:rsidR="00B9720F">
        <w:rPr>
          <w:rFonts w:ascii="Cambria" w:eastAsia="Century Gothic" w:hAnsi="Cambria"/>
          <w:iCs/>
          <w:lang w:val="en-GB"/>
        </w:rPr>
        <w:t>ember initiates such discussion</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Ensures visibility of the Member through its promotional materials, puts its logo and descr</w:t>
      </w:r>
      <w:r w:rsidR="00B9720F">
        <w:rPr>
          <w:rFonts w:ascii="Cambria" w:eastAsia="Century Gothic" w:hAnsi="Cambria"/>
          <w:iCs/>
          <w:lang w:val="en-GB"/>
        </w:rPr>
        <w:t>iption appearing on its website</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Promotes news items about activities of the Member to gain visibility and European level branding on its materials, which will enhance the Member’</w:t>
      </w:r>
      <w:r w:rsidR="00B9720F">
        <w:rPr>
          <w:rFonts w:ascii="Cambria" w:eastAsia="Century Gothic" w:hAnsi="Cambria"/>
          <w:iCs/>
          <w:lang w:val="en-GB"/>
        </w:rPr>
        <w:t>s credibility at national level</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Invoices members annually for the</w:t>
      </w:r>
      <w:r w:rsidR="00B9720F">
        <w:rPr>
          <w:rFonts w:ascii="Cambria" w:eastAsia="Century Gothic" w:hAnsi="Cambria"/>
          <w:iCs/>
          <w:lang w:val="en-GB"/>
        </w:rPr>
        <w:t xml:space="preserve"> membership fees</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Provides members with a welcome package containing membership certificate and i</w:t>
      </w:r>
      <w:r w:rsidR="00B9720F">
        <w:rPr>
          <w:rFonts w:ascii="Cambria" w:eastAsia="Century Gothic" w:hAnsi="Cambria"/>
          <w:iCs/>
          <w:lang w:val="en-GB"/>
        </w:rPr>
        <w:t>nformation about the membership</w:t>
      </w:r>
    </w:p>
    <w:p w:rsidR="004C52C9" w:rsidRPr="008258C8" w:rsidRDefault="004C52C9" w:rsidP="004C52C9">
      <w:pPr>
        <w:ind w:left="1418"/>
        <w:contextualSpacing/>
        <w:jc w:val="both"/>
        <w:rPr>
          <w:rFonts w:ascii="Cambria" w:eastAsia="Century Gothic" w:hAnsi="Cambria"/>
          <w:iCs/>
          <w:lang w:val="en-GB"/>
        </w:rPr>
      </w:pPr>
    </w:p>
    <w:p w:rsidR="004C52C9" w:rsidRPr="008258C8" w:rsidRDefault="004C52C9" w:rsidP="004C52C9">
      <w:pPr>
        <w:numPr>
          <w:ilvl w:val="1"/>
          <w:numId w:val="15"/>
        </w:numPr>
        <w:contextualSpacing/>
        <w:jc w:val="both"/>
        <w:rPr>
          <w:rFonts w:ascii="Cambria" w:eastAsia="Century Gothic" w:hAnsi="Cambria"/>
          <w:iCs/>
          <w:lang w:val="en-GB"/>
        </w:rPr>
      </w:pPr>
      <w:r w:rsidRPr="008258C8">
        <w:rPr>
          <w:rFonts w:ascii="Cambria" w:eastAsia="Century Gothic" w:hAnsi="Cambria"/>
          <w:iCs/>
          <w:lang w:val="en-GB"/>
        </w:rPr>
        <w:t>The Member and the Associate Member</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Actively participates in the Telecentre-Europe online community (</w:t>
      </w:r>
      <w:hyperlink r:id="rId9" w:history="1">
        <w:r w:rsidR="00BF5D5E" w:rsidRPr="00BF5D5E">
          <w:rPr>
            <w:rStyle w:val="Hyperlink"/>
            <w:rFonts w:ascii="Cambria" w:eastAsia="Century Gothic" w:hAnsi="Cambria"/>
            <w:color w:val="auto"/>
            <w:lang w:val="en-GB"/>
          </w:rPr>
          <w:t>http://www.unite-it.eu/</w:t>
        </w:r>
      </w:hyperlink>
      <w:r w:rsidR="00B9720F">
        <w:rPr>
          <w:rFonts w:ascii="Cambria" w:eastAsia="Century Gothic" w:hAnsi="Cambria"/>
          <w:iCs/>
          <w:lang w:val="en-GB"/>
        </w:rPr>
        <w:t>)</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Actively participates in campaigns, surveys, events, or other i</w:t>
      </w:r>
      <w:r w:rsidR="00B9720F">
        <w:rPr>
          <w:rFonts w:ascii="Cambria" w:eastAsia="Century Gothic" w:hAnsi="Cambria"/>
          <w:iCs/>
          <w:lang w:val="en-GB"/>
        </w:rPr>
        <w:t>nitiatives of Telecentre-Europe</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Provides Telecentre-Europe with basic information and data about its activities, services, number and composition of us</w:t>
      </w:r>
      <w:r w:rsidR="00B9720F">
        <w:rPr>
          <w:rFonts w:ascii="Cambria" w:eastAsia="Century Gothic" w:hAnsi="Cambria"/>
          <w:iCs/>
          <w:lang w:val="en-GB"/>
        </w:rPr>
        <w:t>ers on a regular basis</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lastRenderedPageBreak/>
        <w:t>Displays Telecentre-Europe logo and makes reference to its membership in T</w:t>
      </w:r>
      <w:r w:rsidR="00B9720F">
        <w:rPr>
          <w:rFonts w:ascii="Cambria" w:eastAsia="Century Gothic" w:hAnsi="Cambria"/>
          <w:iCs/>
          <w:lang w:val="en-GB"/>
        </w:rPr>
        <w:t>elecentre-Europe on its website</w:t>
      </w:r>
    </w:p>
    <w:p w:rsidR="004C52C9" w:rsidRPr="008258C8" w:rsidRDefault="004C52C9" w:rsidP="004C52C9">
      <w:pPr>
        <w:numPr>
          <w:ilvl w:val="2"/>
          <w:numId w:val="15"/>
        </w:numPr>
        <w:ind w:left="1418" w:hanging="698"/>
        <w:contextualSpacing/>
        <w:jc w:val="both"/>
        <w:rPr>
          <w:rFonts w:ascii="Cambria" w:eastAsia="Century Gothic" w:hAnsi="Cambria"/>
          <w:iCs/>
          <w:lang w:val="en-GB"/>
        </w:rPr>
      </w:pPr>
      <w:r w:rsidRPr="008258C8">
        <w:rPr>
          <w:rFonts w:ascii="Cambria" w:eastAsia="Century Gothic" w:hAnsi="Cambria"/>
          <w:iCs/>
          <w:lang w:val="en-GB"/>
        </w:rPr>
        <w:t>Pays the membership fee upon invoice issued by Telecentre-Europe until the de</w:t>
      </w:r>
      <w:r w:rsidR="00B9720F">
        <w:rPr>
          <w:rFonts w:ascii="Cambria" w:eastAsia="Century Gothic" w:hAnsi="Cambria"/>
          <w:iCs/>
          <w:lang w:val="en-GB"/>
        </w:rPr>
        <w:t>adline indicated on the invoice</w:t>
      </w:r>
    </w:p>
    <w:p w:rsidR="004C52C9" w:rsidRDefault="004C52C9" w:rsidP="004C52C9">
      <w:pPr>
        <w:ind w:left="1418"/>
        <w:contextualSpacing/>
        <w:jc w:val="both"/>
        <w:rPr>
          <w:rFonts w:ascii="Cambria" w:eastAsia="Century Gothic" w:hAnsi="Cambria"/>
          <w:iCs/>
          <w:lang w:val="en-GB"/>
        </w:rPr>
      </w:pPr>
    </w:p>
    <w:p w:rsidR="008258C8" w:rsidRPr="008258C8" w:rsidRDefault="008258C8" w:rsidP="004C52C9">
      <w:pPr>
        <w:ind w:left="1418"/>
        <w:contextualSpacing/>
        <w:jc w:val="both"/>
        <w:rPr>
          <w:rFonts w:ascii="Cambria" w:eastAsia="Century Gothic" w:hAnsi="Cambria"/>
          <w:iCs/>
          <w:lang w:val="en-GB"/>
        </w:rPr>
      </w:pPr>
    </w:p>
    <w:p w:rsidR="004C52C9" w:rsidRPr="008258C8" w:rsidRDefault="004C52C9" w:rsidP="004C52C9">
      <w:pPr>
        <w:numPr>
          <w:ilvl w:val="1"/>
          <w:numId w:val="15"/>
        </w:numPr>
        <w:contextualSpacing/>
        <w:jc w:val="both"/>
        <w:rPr>
          <w:rFonts w:ascii="Cambria" w:eastAsia="Century Gothic" w:hAnsi="Cambria"/>
          <w:iCs/>
          <w:lang w:val="en-GB"/>
        </w:rPr>
      </w:pPr>
      <w:r w:rsidRPr="008258C8">
        <w:rPr>
          <w:rFonts w:ascii="Cambria" w:eastAsia="Century Gothic" w:hAnsi="Cambria"/>
          <w:iCs/>
          <w:lang w:val="en-GB"/>
        </w:rPr>
        <w:t>Membership fee</w:t>
      </w:r>
    </w:p>
    <w:p w:rsidR="004C52C9" w:rsidRPr="008258C8" w:rsidRDefault="004C52C9" w:rsidP="008258C8">
      <w:pPr>
        <w:contextualSpacing/>
        <w:jc w:val="both"/>
        <w:rPr>
          <w:rFonts w:ascii="Cambria" w:eastAsia="Century Gothic" w:hAnsi="Cambria"/>
          <w:iCs/>
          <w:lang w:val="en-GB"/>
        </w:rPr>
      </w:pPr>
      <w:r w:rsidRPr="008258C8">
        <w:rPr>
          <w:rFonts w:ascii="Cambria" w:eastAsia="Century Gothic" w:hAnsi="Cambria"/>
          <w:iCs/>
          <w:lang w:val="en-GB"/>
        </w:rPr>
        <w:t>The Member and the Associate Member pays an annual fee fixed by the General Assembly (GA) on proposal of the Board.</w:t>
      </w:r>
    </w:p>
    <w:p w:rsidR="004C52C9" w:rsidRPr="008258C8" w:rsidRDefault="004C52C9" w:rsidP="008258C8">
      <w:pPr>
        <w:contextualSpacing/>
        <w:jc w:val="both"/>
        <w:rPr>
          <w:rFonts w:ascii="Cambria" w:eastAsia="Century Gothic" w:hAnsi="Cambria"/>
          <w:iCs/>
          <w:lang w:val="en-GB"/>
        </w:rPr>
      </w:pPr>
      <w:r w:rsidRPr="008258C8">
        <w:rPr>
          <w:rFonts w:ascii="Cambria" w:eastAsia="Century Gothic" w:hAnsi="Cambria"/>
          <w:iCs/>
          <w:lang w:val="en-GB"/>
        </w:rPr>
        <w:t>The following membership fee categories and annual membership fees are set by the GA:</w:t>
      </w:r>
    </w:p>
    <w:p w:rsidR="004C52C9" w:rsidRPr="008258C8" w:rsidRDefault="004C52C9" w:rsidP="004C52C9">
      <w:pPr>
        <w:spacing w:after="60"/>
        <w:ind w:left="697" w:firstLine="720"/>
        <w:jc w:val="both"/>
        <w:rPr>
          <w:rFonts w:ascii="Cambria" w:eastAsia="Century Gothic" w:hAnsi="Cambria"/>
          <w:iCs/>
          <w:lang w:val="en-GB"/>
        </w:rPr>
      </w:pPr>
      <w:r w:rsidRPr="008258C8">
        <w:rPr>
          <w:rFonts w:ascii="Cambria" w:eastAsia="Century Gothic" w:hAnsi="Cambria"/>
          <w:iCs/>
          <w:lang w:val="en-GB"/>
        </w:rPr>
        <w:t>Members</w:t>
      </w:r>
      <w:r w:rsidRPr="008258C8">
        <w:rPr>
          <w:rFonts w:ascii="Cambria" w:eastAsia="Century Gothic" w:hAnsi="Cambria"/>
          <w:iCs/>
          <w:lang w:val="en-GB"/>
        </w:rPr>
        <w:tab/>
      </w:r>
      <w:r w:rsidRPr="008258C8">
        <w:rPr>
          <w:rFonts w:ascii="Cambria" w:eastAsia="Century Gothic" w:hAnsi="Cambria"/>
          <w:iCs/>
          <w:lang w:val="en-GB"/>
        </w:rPr>
        <w:tab/>
      </w:r>
      <w:r w:rsidRPr="008258C8">
        <w:rPr>
          <w:rFonts w:ascii="Cambria" w:eastAsia="Century Gothic" w:hAnsi="Cambria"/>
          <w:iCs/>
          <w:lang w:val="en-GB"/>
        </w:rPr>
        <w:tab/>
        <w:t>€300</w:t>
      </w:r>
    </w:p>
    <w:p w:rsidR="004C52C9" w:rsidRPr="008258C8" w:rsidRDefault="004C52C9" w:rsidP="004C52C9">
      <w:pPr>
        <w:ind w:left="697" w:firstLine="720"/>
        <w:jc w:val="both"/>
        <w:rPr>
          <w:rFonts w:ascii="Cambria" w:eastAsia="Century Gothic" w:hAnsi="Cambria"/>
          <w:iCs/>
          <w:lang w:val="en-GB"/>
        </w:rPr>
      </w:pPr>
      <w:r w:rsidRPr="008258C8">
        <w:rPr>
          <w:rFonts w:ascii="Cambria" w:eastAsia="Century Gothic" w:hAnsi="Cambria"/>
          <w:iCs/>
          <w:lang w:val="en-GB"/>
        </w:rPr>
        <w:t>Associate members</w:t>
      </w:r>
      <w:r w:rsidRPr="008258C8">
        <w:rPr>
          <w:rFonts w:ascii="Cambria" w:eastAsia="Century Gothic" w:hAnsi="Cambria"/>
          <w:iCs/>
          <w:lang w:val="en-GB"/>
        </w:rPr>
        <w:tab/>
      </w:r>
      <w:r w:rsidRPr="008258C8">
        <w:rPr>
          <w:rFonts w:ascii="Cambria" w:eastAsia="Century Gothic" w:hAnsi="Cambria"/>
          <w:iCs/>
          <w:lang w:val="en-GB"/>
        </w:rPr>
        <w:tab/>
        <w:t>€500</w:t>
      </w:r>
    </w:p>
    <w:p w:rsidR="004C52C9" w:rsidRPr="008258C8" w:rsidRDefault="004C52C9" w:rsidP="008258C8">
      <w:pPr>
        <w:contextualSpacing/>
        <w:jc w:val="both"/>
        <w:rPr>
          <w:rFonts w:ascii="Cambria" w:eastAsia="Century Gothic" w:hAnsi="Cambria"/>
          <w:iCs/>
          <w:lang w:val="en-GB"/>
        </w:rPr>
      </w:pPr>
      <w:r w:rsidRPr="008258C8">
        <w:rPr>
          <w:rFonts w:ascii="Cambria" w:eastAsia="Century Gothic" w:hAnsi="Cambria"/>
          <w:iCs/>
          <w:lang w:val="en-GB"/>
        </w:rPr>
        <w:t>After the due date of paying the membership fee, if not paid, Telecentre-Europe sends out a reminder to the Member. The membership status of the Member will be suspended (losing voting rights and all benefits of membership) if the membership fee is not paid within a maximum of 30 days from the date of reminder. The membership status can be renewed after the receipt of the payment.</w:t>
      </w:r>
    </w:p>
    <w:p w:rsidR="004C52C9" w:rsidRPr="008258C8" w:rsidRDefault="004C52C9" w:rsidP="008258C8">
      <w:pPr>
        <w:contextualSpacing/>
        <w:jc w:val="both"/>
        <w:rPr>
          <w:rFonts w:ascii="Cambria" w:eastAsia="Century Gothic" w:hAnsi="Cambria"/>
          <w:iCs/>
          <w:lang w:val="en-GB"/>
        </w:rPr>
      </w:pPr>
      <w:r w:rsidRPr="008258C8">
        <w:rPr>
          <w:rFonts w:ascii="Cambria" w:eastAsia="Century Gothic" w:hAnsi="Cambria"/>
          <w:iCs/>
          <w:lang w:val="en-GB"/>
        </w:rPr>
        <w:t>If the Member fails to pay the membership fee for the year by the end of the year, termination of membership status can be proposed by the Board to the General Assembly.</w:t>
      </w:r>
    </w:p>
    <w:p w:rsidR="004C52C9" w:rsidRPr="008258C8" w:rsidRDefault="004C52C9" w:rsidP="004C52C9">
      <w:pPr>
        <w:ind w:left="1418"/>
        <w:contextualSpacing/>
        <w:jc w:val="both"/>
        <w:rPr>
          <w:rFonts w:ascii="Cambria" w:eastAsia="Century Gothic" w:hAnsi="Cambria"/>
          <w:iCs/>
          <w:lang w:val="en-GB"/>
        </w:rPr>
      </w:pPr>
    </w:p>
    <w:p w:rsidR="004C52C9" w:rsidRDefault="004C52C9" w:rsidP="00F61AB1">
      <w:pPr>
        <w:rPr>
          <w:rFonts w:ascii="Cambria" w:hAnsi="Cambria"/>
          <w:szCs w:val="24"/>
          <w:lang w:val="en-GB"/>
        </w:rPr>
      </w:pPr>
    </w:p>
    <w:p w:rsidR="003768D9" w:rsidRPr="00AD2BBD" w:rsidRDefault="004546A2" w:rsidP="004546A2">
      <w:pPr>
        <w:spacing w:after="60" w:line="240" w:lineRule="auto"/>
        <w:jc w:val="both"/>
        <w:rPr>
          <w:rFonts w:ascii="Cambria" w:hAnsi="Cambria"/>
          <w:szCs w:val="24"/>
          <w:lang w:val="en-GB"/>
        </w:rPr>
      </w:pPr>
      <w:r>
        <w:rPr>
          <w:rFonts w:ascii="Cambria" w:hAnsi="Cambria"/>
          <w:szCs w:val="24"/>
          <w:lang w:val="en-GB"/>
        </w:rPr>
        <w:t xml:space="preserve">NOTE: </w:t>
      </w:r>
      <w:r w:rsidR="003768D9" w:rsidRPr="00AD2BBD">
        <w:rPr>
          <w:rFonts w:ascii="Cambria" w:hAnsi="Cambria"/>
          <w:szCs w:val="24"/>
          <w:lang w:val="en-GB"/>
        </w:rPr>
        <w:t xml:space="preserve">Please see the full text of the </w:t>
      </w:r>
      <w:hyperlink r:id="rId10" w:history="1">
        <w:r w:rsidR="003768D9" w:rsidRPr="00431073">
          <w:rPr>
            <w:rStyle w:val="Hyperlink"/>
            <w:rFonts w:ascii="Cambria" w:hAnsi="Cambria"/>
            <w:szCs w:val="24"/>
            <w:lang w:val="en-GB"/>
          </w:rPr>
          <w:t>Telecentre-Europe AISBL Statutes</w:t>
        </w:r>
      </w:hyperlink>
      <w:r w:rsidR="003768D9" w:rsidRPr="00AD2BBD">
        <w:rPr>
          <w:rFonts w:ascii="Cambria" w:hAnsi="Cambria"/>
          <w:szCs w:val="24"/>
          <w:lang w:val="en-GB"/>
        </w:rPr>
        <w:t xml:space="preserve"> for all details.  </w:t>
      </w:r>
    </w:p>
    <w:p w:rsidR="003768D9" w:rsidRDefault="003768D9" w:rsidP="003768D9">
      <w:pPr>
        <w:spacing w:after="60" w:line="240" w:lineRule="auto"/>
        <w:jc w:val="both"/>
        <w:rPr>
          <w:rFonts w:ascii="Cambria" w:hAnsi="Cambria"/>
          <w:szCs w:val="24"/>
          <w:lang w:val="en-GB"/>
        </w:rPr>
      </w:pPr>
      <w:r>
        <w:rPr>
          <w:rFonts w:ascii="Cambria" w:hAnsi="Cambria"/>
          <w:szCs w:val="24"/>
          <w:lang w:val="en-GB"/>
        </w:rPr>
        <w:br/>
      </w:r>
    </w:p>
    <w:p w:rsidR="001A6D9E" w:rsidRPr="00B178C9" w:rsidRDefault="007602B1" w:rsidP="007602B1">
      <w:pPr>
        <w:spacing w:after="60" w:line="240" w:lineRule="auto"/>
        <w:rPr>
          <w:b/>
          <w:lang w:val="en-GB"/>
        </w:rPr>
      </w:pPr>
      <w:r>
        <w:rPr>
          <w:b/>
          <w:lang w:val="en-GB"/>
        </w:rPr>
        <w:t>HOW TO JOIN AS A</w:t>
      </w:r>
      <w:r w:rsidR="001A6D9E" w:rsidRPr="00B178C9">
        <w:rPr>
          <w:b/>
          <w:lang w:val="en-GB"/>
        </w:rPr>
        <w:t xml:space="preserve"> MEM</w:t>
      </w:r>
      <w:r w:rsidR="00E94EB9" w:rsidRPr="00B178C9">
        <w:rPr>
          <w:b/>
          <w:lang w:val="en-GB"/>
        </w:rPr>
        <w:t>BER?</w:t>
      </w:r>
    </w:p>
    <w:p w:rsidR="001A6D9E" w:rsidRPr="00AD2BBD" w:rsidRDefault="008258C8" w:rsidP="00AD2BBD">
      <w:pPr>
        <w:spacing w:after="60" w:line="240" w:lineRule="auto"/>
        <w:jc w:val="both"/>
        <w:rPr>
          <w:rFonts w:ascii="Cambria" w:hAnsi="Cambria"/>
          <w:szCs w:val="24"/>
          <w:lang w:val="en-GB"/>
        </w:rPr>
      </w:pPr>
      <w:r>
        <w:rPr>
          <w:rFonts w:ascii="Cambria" w:hAnsi="Cambria"/>
          <w:szCs w:val="24"/>
          <w:lang w:val="en-GB"/>
        </w:rPr>
        <w:t>Organizations interested to join Telecentre-Europe as members have to follow the procedure described below</w:t>
      </w:r>
      <w:r w:rsidR="001A6D9E" w:rsidRPr="00AD2BBD">
        <w:rPr>
          <w:rFonts w:ascii="Cambria" w:hAnsi="Cambria"/>
          <w:szCs w:val="24"/>
          <w:lang w:val="en-GB"/>
        </w:rPr>
        <w:t>:</w:t>
      </w:r>
    </w:p>
    <w:p w:rsidR="007602B1" w:rsidRPr="007602B1" w:rsidRDefault="007602B1" w:rsidP="008258C8">
      <w:pPr>
        <w:numPr>
          <w:ilvl w:val="0"/>
          <w:numId w:val="9"/>
        </w:numPr>
        <w:spacing w:after="60" w:line="240" w:lineRule="auto"/>
        <w:jc w:val="both"/>
        <w:rPr>
          <w:rFonts w:ascii="Cambria" w:hAnsi="Cambria"/>
          <w:bCs/>
          <w:szCs w:val="24"/>
          <w:lang w:val="en-GB"/>
        </w:rPr>
      </w:pPr>
      <w:r w:rsidRPr="007602B1">
        <w:rPr>
          <w:rFonts w:ascii="Cambria" w:hAnsi="Cambria"/>
          <w:bCs/>
          <w:szCs w:val="24"/>
          <w:lang w:val="en-GB"/>
        </w:rPr>
        <w:t>Read carefully all membership related documents sent by email and</w:t>
      </w:r>
      <w:r w:rsidR="00B9720F">
        <w:rPr>
          <w:rFonts w:ascii="Cambria" w:hAnsi="Cambria"/>
          <w:bCs/>
          <w:szCs w:val="24"/>
          <w:lang w:val="en-GB"/>
        </w:rPr>
        <w:t xml:space="preserve"> </w:t>
      </w:r>
      <w:r w:rsidR="00BF5D5E">
        <w:rPr>
          <w:rFonts w:ascii="Cambria" w:hAnsi="Cambria"/>
          <w:bCs/>
          <w:szCs w:val="24"/>
          <w:lang w:val="en-GB"/>
        </w:rPr>
        <w:t>/</w:t>
      </w:r>
      <w:r w:rsidR="00B9720F">
        <w:rPr>
          <w:rFonts w:ascii="Cambria" w:hAnsi="Cambria"/>
          <w:bCs/>
          <w:szCs w:val="24"/>
          <w:lang w:val="en-GB"/>
        </w:rPr>
        <w:t xml:space="preserve"> </w:t>
      </w:r>
      <w:r w:rsidR="00BF5D5E">
        <w:rPr>
          <w:rFonts w:ascii="Cambria" w:hAnsi="Cambria"/>
          <w:bCs/>
          <w:szCs w:val="24"/>
          <w:lang w:val="en-GB"/>
        </w:rPr>
        <w:t>or</w:t>
      </w:r>
      <w:r w:rsidRPr="007602B1">
        <w:rPr>
          <w:rFonts w:ascii="Cambria" w:hAnsi="Cambria"/>
          <w:bCs/>
          <w:szCs w:val="24"/>
          <w:lang w:val="en-GB"/>
        </w:rPr>
        <w:t xml:space="preserve"> available online in the </w:t>
      </w:r>
      <w:hyperlink r:id="rId11" w:history="1">
        <w:r w:rsidRPr="00431073">
          <w:rPr>
            <w:rStyle w:val="Hyperlink"/>
            <w:rFonts w:ascii="Cambria" w:hAnsi="Cambria"/>
            <w:bCs/>
            <w:szCs w:val="24"/>
            <w:lang w:val="en-GB"/>
          </w:rPr>
          <w:t>Membership section</w:t>
        </w:r>
      </w:hyperlink>
      <w:bookmarkStart w:id="0" w:name="_GoBack"/>
      <w:bookmarkEnd w:id="0"/>
      <w:r w:rsidRPr="007602B1">
        <w:rPr>
          <w:rFonts w:ascii="Cambria" w:hAnsi="Cambria"/>
          <w:bCs/>
          <w:szCs w:val="24"/>
          <w:lang w:val="en-GB"/>
        </w:rPr>
        <w:t xml:space="preserve"> of the Telecentre-Europe website</w:t>
      </w:r>
    </w:p>
    <w:p w:rsidR="007602B1" w:rsidRPr="007602B1" w:rsidRDefault="007602B1" w:rsidP="00AD2BBD">
      <w:pPr>
        <w:numPr>
          <w:ilvl w:val="0"/>
          <w:numId w:val="9"/>
        </w:numPr>
        <w:spacing w:after="60" w:line="240" w:lineRule="auto"/>
        <w:jc w:val="both"/>
        <w:rPr>
          <w:rFonts w:ascii="Cambria" w:hAnsi="Cambria"/>
          <w:bCs/>
          <w:szCs w:val="24"/>
          <w:lang w:val="en-GB"/>
        </w:rPr>
      </w:pPr>
      <w:r w:rsidRPr="007602B1">
        <w:rPr>
          <w:rFonts w:ascii="Cambria" w:hAnsi="Cambria"/>
          <w:bCs/>
          <w:szCs w:val="24"/>
          <w:lang w:val="en-GB"/>
        </w:rPr>
        <w:t xml:space="preserve">Complete </w:t>
      </w:r>
      <w:r w:rsidR="00BF5D5E">
        <w:rPr>
          <w:rFonts w:ascii="Cambria" w:hAnsi="Cambria"/>
          <w:bCs/>
          <w:szCs w:val="24"/>
          <w:lang w:val="en-GB"/>
        </w:rPr>
        <w:t xml:space="preserve">and submit </w:t>
      </w:r>
      <w:r w:rsidRPr="007602B1">
        <w:rPr>
          <w:rFonts w:ascii="Cambria" w:hAnsi="Cambria"/>
          <w:bCs/>
          <w:szCs w:val="24"/>
          <w:lang w:val="en-GB"/>
        </w:rPr>
        <w:t>the</w:t>
      </w:r>
      <w:r w:rsidR="00BF5D5E">
        <w:rPr>
          <w:rFonts w:ascii="Cambria" w:hAnsi="Cambria"/>
          <w:bCs/>
          <w:szCs w:val="24"/>
          <w:lang w:val="en-GB"/>
        </w:rPr>
        <w:t xml:space="preserve"> online</w:t>
      </w:r>
      <w:r w:rsidRPr="007602B1">
        <w:rPr>
          <w:rFonts w:ascii="Cambria" w:hAnsi="Cambria"/>
          <w:bCs/>
          <w:szCs w:val="24"/>
          <w:lang w:val="en-GB"/>
        </w:rPr>
        <w:t xml:space="preserve"> </w:t>
      </w:r>
      <w:hyperlink r:id="rId12" w:history="1">
        <w:r w:rsidRPr="00BF5D5E">
          <w:rPr>
            <w:rStyle w:val="Hyperlink"/>
            <w:rFonts w:ascii="Cambria" w:hAnsi="Cambria"/>
            <w:bCs/>
            <w:szCs w:val="24"/>
            <w:lang w:val="en-GB"/>
          </w:rPr>
          <w:t>Membership Request Form</w:t>
        </w:r>
      </w:hyperlink>
      <w:r w:rsidRPr="007602B1">
        <w:rPr>
          <w:rFonts w:ascii="Cambria" w:hAnsi="Cambria"/>
          <w:bCs/>
          <w:szCs w:val="24"/>
          <w:lang w:val="en-GB"/>
        </w:rPr>
        <w:t xml:space="preserve"> </w:t>
      </w:r>
    </w:p>
    <w:p w:rsidR="001A6D9E" w:rsidRPr="00AD2BBD" w:rsidRDefault="001A6D9E" w:rsidP="008258C8">
      <w:pPr>
        <w:spacing w:after="60" w:line="240" w:lineRule="auto"/>
        <w:rPr>
          <w:rFonts w:ascii="Cambria" w:hAnsi="Cambria"/>
          <w:szCs w:val="24"/>
          <w:lang w:val="en-GB"/>
        </w:rPr>
      </w:pPr>
      <w:r w:rsidRPr="00AD2BBD">
        <w:rPr>
          <w:rFonts w:ascii="Cambria" w:hAnsi="Cambria"/>
          <w:szCs w:val="24"/>
          <w:lang w:val="en-GB"/>
        </w:rPr>
        <w:br/>
      </w:r>
      <w:r w:rsidR="00AD2BBD" w:rsidRPr="00AD2BBD">
        <w:rPr>
          <w:rFonts w:ascii="Cambria" w:hAnsi="Cambria"/>
          <w:bCs/>
          <w:szCs w:val="24"/>
          <w:lang w:val="en-GB"/>
        </w:rPr>
        <w:t xml:space="preserve">An official </w:t>
      </w:r>
      <w:r w:rsidR="007602B1">
        <w:rPr>
          <w:rFonts w:ascii="Cambria" w:hAnsi="Cambria"/>
          <w:bCs/>
          <w:szCs w:val="24"/>
          <w:lang w:val="en-GB"/>
        </w:rPr>
        <w:t>response</w:t>
      </w:r>
      <w:r w:rsidR="008258C8">
        <w:rPr>
          <w:rFonts w:ascii="Cambria" w:hAnsi="Cambria"/>
          <w:bCs/>
          <w:szCs w:val="24"/>
          <w:lang w:val="en-GB"/>
        </w:rPr>
        <w:t xml:space="preserve"> will be provided by Telecentre-Europe in a maximum of 10 working days from the date of submission</w:t>
      </w:r>
      <w:r w:rsidR="00AD2BBD" w:rsidRPr="00AD2BBD">
        <w:rPr>
          <w:rFonts w:ascii="Cambria" w:hAnsi="Cambria"/>
          <w:bCs/>
          <w:szCs w:val="24"/>
          <w:lang w:val="en-GB"/>
        </w:rPr>
        <w:t>.</w:t>
      </w:r>
      <w:r w:rsidR="008556BE">
        <w:rPr>
          <w:rFonts w:ascii="Cambria" w:hAnsi="Cambria"/>
          <w:bCs/>
          <w:szCs w:val="24"/>
          <w:lang w:val="en-GB"/>
        </w:rPr>
        <w:br/>
      </w:r>
      <w:r w:rsidR="00AD2BBD" w:rsidRPr="00AD2BBD">
        <w:rPr>
          <w:rFonts w:ascii="Cambria" w:hAnsi="Cambria"/>
          <w:bCs/>
          <w:szCs w:val="24"/>
          <w:lang w:val="en-GB"/>
        </w:rPr>
        <w:t xml:space="preserve"> </w:t>
      </w:r>
    </w:p>
    <w:sectPr w:rsidR="001A6D9E" w:rsidRPr="00AD2BBD" w:rsidSect="000D5A8B">
      <w:headerReference w:type="default" r:id="rId13"/>
      <w:footerReference w:type="default" r:id="rId14"/>
      <w:headerReference w:type="first" r:id="rId15"/>
      <w:footerReference w:type="first" r:id="rId16"/>
      <w:pgSz w:w="11906" w:h="16838"/>
      <w:pgMar w:top="1276" w:right="1417" w:bottom="851" w:left="1417" w:header="567" w:footer="708" w:gutter="0"/>
      <w:pgBorders w:offsetFrom="page">
        <w:top w:val="single" w:sz="48" w:space="24" w:color="D9D9D9"/>
        <w:left w:val="single" w:sz="48" w:space="24" w:color="D9D9D9"/>
        <w:bottom w:val="single" w:sz="48" w:space="24" w:color="D9D9D9"/>
        <w:right w:val="single" w:sz="48" w:space="24" w:color="D9D9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17" w:rsidRDefault="00B80417">
      <w:pPr>
        <w:spacing w:after="0" w:line="240" w:lineRule="auto"/>
      </w:pPr>
      <w:r>
        <w:separator/>
      </w:r>
    </w:p>
  </w:endnote>
  <w:endnote w:type="continuationSeparator" w:id="0">
    <w:p w:rsidR="00B80417" w:rsidRDefault="00B8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918"/>
      <w:docPartObj>
        <w:docPartGallery w:val="Page Numbers (Bottom of Page)"/>
        <w:docPartUnique/>
      </w:docPartObj>
    </w:sdtPr>
    <w:sdtEndPr/>
    <w:sdtContent>
      <w:p w:rsidR="000D5A8B" w:rsidRDefault="00B80417">
        <w:pPr>
          <w:pStyle w:val="Footer"/>
          <w:jc w:val="right"/>
        </w:pPr>
        <w:r>
          <w:fldChar w:fldCharType="begin"/>
        </w:r>
        <w:r>
          <w:instrText xml:space="preserve"> PAGE   \* MERGEFORMAT </w:instrText>
        </w:r>
        <w:r>
          <w:fldChar w:fldCharType="separate"/>
        </w:r>
        <w:r w:rsidR="00431073">
          <w:rPr>
            <w:noProof/>
          </w:rPr>
          <w:t>5</w:t>
        </w:r>
        <w:r>
          <w:rPr>
            <w:noProof/>
          </w:rPr>
          <w:fldChar w:fldCharType="end"/>
        </w:r>
      </w:p>
    </w:sdtContent>
  </w:sdt>
  <w:p w:rsidR="000D5A8B" w:rsidRDefault="000D5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917"/>
      <w:docPartObj>
        <w:docPartGallery w:val="Page Numbers (Bottom of Page)"/>
        <w:docPartUnique/>
      </w:docPartObj>
    </w:sdtPr>
    <w:sdtEndPr/>
    <w:sdtContent>
      <w:p w:rsidR="000D5A8B" w:rsidRDefault="00B80417">
        <w:pPr>
          <w:pStyle w:val="Footer"/>
          <w:jc w:val="right"/>
        </w:pPr>
        <w:r>
          <w:fldChar w:fldCharType="begin"/>
        </w:r>
        <w:r>
          <w:instrText xml:space="preserve"> PAGE   \* MERGEFORMAT </w:instrText>
        </w:r>
        <w:r>
          <w:fldChar w:fldCharType="separate"/>
        </w:r>
        <w:r w:rsidR="000D5A8B">
          <w:rPr>
            <w:noProof/>
          </w:rPr>
          <w:t>1</w:t>
        </w:r>
        <w:r>
          <w:rPr>
            <w:noProof/>
          </w:rPr>
          <w:fldChar w:fldCharType="end"/>
        </w:r>
      </w:p>
    </w:sdtContent>
  </w:sdt>
  <w:p w:rsidR="000D5A8B" w:rsidRDefault="000D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17" w:rsidRDefault="00B80417">
      <w:pPr>
        <w:spacing w:after="0" w:line="240" w:lineRule="auto"/>
      </w:pPr>
      <w:r>
        <w:separator/>
      </w:r>
    </w:p>
  </w:footnote>
  <w:footnote w:type="continuationSeparator" w:id="0">
    <w:p w:rsidR="00B80417" w:rsidRDefault="00B8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9E" w:rsidRDefault="001A6D9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9E" w:rsidRDefault="001A6D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25C"/>
    <w:multiLevelType w:val="hybridMultilevel"/>
    <w:tmpl w:val="3490C130"/>
    <w:lvl w:ilvl="0" w:tplc="CE481A52">
      <w:start w:val="1"/>
      <w:numFmt w:val="lowerLetter"/>
      <w:lvlText w:val="%1."/>
      <w:lvlJc w:val="left"/>
      <w:pPr>
        <w:ind w:left="720" w:hanging="360"/>
      </w:pPr>
      <w:rPr>
        <w:rFonts w:hint="default"/>
        <w:b/>
        <w:color w:val="00206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B362CB"/>
    <w:multiLevelType w:val="hybridMultilevel"/>
    <w:tmpl w:val="A968A644"/>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24870789"/>
    <w:multiLevelType w:val="hybridMultilevel"/>
    <w:tmpl w:val="8B42E662"/>
    <w:lvl w:ilvl="0" w:tplc="EA28B156">
      <w:start w:val="1"/>
      <w:numFmt w:val="decimal"/>
      <w:lvlText w:val="%1."/>
      <w:lvlJc w:val="left"/>
      <w:pPr>
        <w:ind w:left="720" w:hanging="360"/>
      </w:pPr>
      <w:rPr>
        <w:rFonts w:hint="default"/>
        <w:b/>
        <w:color w:val="1F497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9067D56"/>
    <w:multiLevelType w:val="hybridMultilevel"/>
    <w:tmpl w:val="FAB4596A"/>
    <w:lvl w:ilvl="0" w:tplc="A036D298">
      <w:start w:val="1"/>
      <w:numFmt w:val="lowerLetter"/>
      <w:lvlText w:val="%1."/>
      <w:lvlJc w:val="left"/>
      <w:pPr>
        <w:ind w:left="360" w:hanging="360"/>
      </w:pPr>
      <w:rPr>
        <w:rFonts w:hint="default"/>
        <w:b/>
        <w:color w:val="0070C0"/>
      </w:rPr>
    </w:lvl>
    <w:lvl w:ilvl="1" w:tplc="0409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2CF15381"/>
    <w:multiLevelType w:val="multilevel"/>
    <w:tmpl w:val="B464F430"/>
    <w:lvl w:ilvl="0">
      <w:start w:val="1"/>
      <w:numFmt w:val="upperRoman"/>
      <w:lvlText w:val="Part %1 :"/>
      <w:lvlJc w:val="left"/>
      <w:rPr>
        <w:rFonts w:ascii="Cambria" w:hAnsi="Cambria" w:cs="Cambria" w:hint="default"/>
        <w:b/>
        <w:bCs/>
        <w:i w:val="0"/>
        <w:iCs w:val="0"/>
        <w:color w:val="7F7F7F"/>
        <w:sz w:val="28"/>
        <w:szCs w:val="28"/>
      </w:rPr>
    </w:lvl>
    <w:lvl w:ilvl="1">
      <w:start w:val="1"/>
      <w:numFmt w:val="decimal"/>
      <w:lvlRestart w:val="0"/>
      <w:lvlText w:val="Article %2. - "/>
      <w:lvlJc w:val="left"/>
      <w:rPr>
        <w:rFonts w:ascii="Cambria" w:hAnsi="Cambria" w:cs="Cambria" w:hint="default"/>
        <w:b/>
        <w:bCs/>
        <w:i w:val="0"/>
        <w:iCs w:val="0"/>
        <w:color w:val="7F7F7F"/>
        <w:sz w:val="28"/>
        <w:szCs w:val="28"/>
      </w:rPr>
    </w:lvl>
    <w:lvl w:ilvl="2">
      <w:start w:val="1"/>
      <w:numFmt w:val="lowerLetter"/>
      <w:lvlText w:val="(%3)"/>
      <w:lvlJc w:val="left"/>
      <w:rPr>
        <w:rFonts w:ascii="Cambria" w:hAnsi="Cambria" w:cs="Cambria" w:hint="default"/>
        <w:color w:val="7F7F7F"/>
        <w:sz w:val="22"/>
        <w:szCs w:val="22"/>
      </w:rPr>
    </w:lvl>
    <w:lvl w:ilvl="3">
      <w:start w:val="1"/>
      <w:numFmt w:val="lowerRoman"/>
      <w:lvlText w:val="(%4)"/>
      <w:lvlJc w:val="right"/>
      <w:rPr>
        <w:rFonts w:ascii="Cambria" w:hAnsi="Cambria" w:cs="Cambria" w:hint="default"/>
        <w:sz w:val="22"/>
        <w:szCs w:val="22"/>
      </w:rPr>
    </w:lvl>
    <w:lvl w:ilvl="4">
      <w:start w:val="1"/>
      <w:numFmt w:val="bullet"/>
      <w:lvlText w:val=""/>
      <w:lvlJc w:val="left"/>
      <w:pPr>
        <w:ind w:left="284" w:hanging="284"/>
      </w:pPr>
      <w:rPr>
        <w:rFonts w:ascii="Symbol" w:hAnsi="Symbol" w:cs="Symbol" w:hint="default"/>
        <w:color w:val="auto"/>
        <w:sz w:val="22"/>
        <w:szCs w:val="22"/>
      </w:rPr>
    </w:lvl>
    <w:lvl w:ilvl="5">
      <w:start w:val="1"/>
      <w:numFmt w:val="lowerLetter"/>
      <w:lvlText w:val="%6)"/>
      <w:lvlJc w:val="left"/>
      <w:pPr>
        <w:ind w:left="1152" w:hanging="432"/>
      </w:pPr>
      <w:rPr>
        <w:rFonts w:ascii="Times New Roman" w:hAnsi="Times New Roman" w:cs="Times New Roman" w:hint="default"/>
      </w:rPr>
    </w:lvl>
    <w:lvl w:ilvl="6">
      <w:start w:val="1"/>
      <w:numFmt w:val="lowerRoman"/>
      <w:lvlText w:val="%7)"/>
      <w:lvlJc w:val="right"/>
      <w:pPr>
        <w:ind w:left="1296" w:hanging="288"/>
      </w:pPr>
      <w:rPr>
        <w:rFonts w:ascii="Times New Roman" w:hAnsi="Times New Roman" w:cs="Times New Roman" w:hint="default"/>
      </w:rPr>
    </w:lvl>
    <w:lvl w:ilvl="7">
      <w:start w:val="1"/>
      <w:numFmt w:val="lowerLetter"/>
      <w:lvlText w:val="%8."/>
      <w:lvlJc w:val="left"/>
      <w:pPr>
        <w:ind w:left="1440" w:hanging="432"/>
      </w:pPr>
      <w:rPr>
        <w:rFonts w:ascii="Times New Roman" w:hAnsi="Times New Roman" w:cs="Times New Roman" w:hint="default"/>
      </w:rPr>
    </w:lvl>
    <w:lvl w:ilvl="8">
      <w:start w:val="1"/>
      <w:numFmt w:val="lowerRoman"/>
      <w:lvlText w:val="%9."/>
      <w:lvlJc w:val="right"/>
      <w:pPr>
        <w:ind w:left="1584" w:hanging="144"/>
      </w:pPr>
      <w:rPr>
        <w:rFonts w:ascii="Times New Roman" w:hAnsi="Times New Roman" w:cs="Times New Roman" w:hint="default"/>
      </w:rPr>
    </w:lvl>
  </w:abstractNum>
  <w:abstractNum w:abstractNumId="5">
    <w:nsid w:val="2EC74439"/>
    <w:multiLevelType w:val="hybridMultilevel"/>
    <w:tmpl w:val="543C10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309674C"/>
    <w:multiLevelType w:val="hybridMultilevel"/>
    <w:tmpl w:val="34EA4EB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4640567B"/>
    <w:multiLevelType w:val="hybridMultilevel"/>
    <w:tmpl w:val="183289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8483784"/>
    <w:multiLevelType w:val="hybridMultilevel"/>
    <w:tmpl w:val="1854C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E9737C8"/>
    <w:multiLevelType w:val="hybridMultilevel"/>
    <w:tmpl w:val="7F5A3A2C"/>
    <w:lvl w:ilvl="0" w:tplc="7004D30A">
      <w:start w:val="1"/>
      <w:numFmt w:val="bullet"/>
      <w:lvlText w:val="-"/>
      <w:lvlJc w:val="left"/>
      <w:pPr>
        <w:ind w:left="720" w:hanging="360"/>
      </w:pPr>
      <w:rPr>
        <w:rFonts w:ascii="Calibri" w:eastAsia="Calibri" w:hAnsi="Calibri" w:cs="Times New Roman" w:hint="default"/>
      </w:rPr>
    </w:lvl>
    <w:lvl w:ilvl="1" w:tplc="04180013">
      <w:start w:val="1"/>
      <w:numFmt w:val="upperRoman"/>
      <w:lvlText w:val="%2."/>
      <w:lvlJc w:val="righ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046652C"/>
    <w:multiLevelType w:val="hybridMultilevel"/>
    <w:tmpl w:val="1FDA523E"/>
    <w:lvl w:ilvl="0" w:tplc="080C0001">
      <w:start w:val="1"/>
      <w:numFmt w:val="bullet"/>
      <w:lvlText w:val=""/>
      <w:lvlJc w:val="left"/>
      <w:pPr>
        <w:ind w:left="360" w:hanging="360"/>
      </w:pPr>
      <w:rPr>
        <w:rFonts w:ascii="Symbol" w:hAnsi="Symbol" w:cs="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cs="Wingdings" w:hint="default"/>
      </w:rPr>
    </w:lvl>
    <w:lvl w:ilvl="3" w:tplc="080C0001">
      <w:start w:val="1"/>
      <w:numFmt w:val="bullet"/>
      <w:lvlText w:val=""/>
      <w:lvlJc w:val="left"/>
      <w:pPr>
        <w:ind w:left="2520" w:hanging="360"/>
      </w:pPr>
      <w:rPr>
        <w:rFonts w:ascii="Symbol" w:hAnsi="Symbol" w:cs="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Wingdings" w:hint="default"/>
      </w:rPr>
    </w:lvl>
    <w:lvl w:ilvl="6" w:tplc="080C0001">
      <w:start w:val="1"/>
      <w:numFmt w:val="bullet"/>
      <w:lvlText w:val=""/>
      <w:lvlJc w:val="left"/>
      <w:pPr>
        <w:ind w:left="4680" w:hanging="360"/>
      </w:pPr>
      <w:rPr>
        <w:rFonts w:ascii="Symbol" w:hAnsi="Symbol" w:cs="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Wingdings" w:hint="default"/>
      </w:rPr>
    </w:lvl>
  </w:abstractNum>
  <w:abstractNum w:abstractNumId="11">
    <w:nsid w:val="57D436E4"/>
    <w:multiLevelType w:val="hybridMultilevel"/>
    <w:tmpl w:val="9A8A2FF4"/>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616114DB"/>
    <w:multiLevelType w:val="hybridMultilevel"/>
    <w:tmpl w:val="B336CD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956514E"/>
    <w:multiLevelType w:val="hybridMultilevel"/>
    <w:tmpl w:val="A032281E"/>
    <w:lvl w:ilvl="0" w:tplc="71B47B5C">
      <w:start w:val="1"/>
      <w:numFmt w:val="decimal"/>
      <w:lvlText w:val="%1."/>
      <w:lvlJc w:val="left"/>
      <w:pPr>
        <w:ind w:left="720" w:hanging="360"/>
      </w:pPr>
      <w:rPr>
        <w:rFonts w:ascii="Calibri" w:hAnsi="Calibri" w:hint="default"/>
        <w:b w:val="0"/>
        <w:color w:val="auto"/>
        <w:sz w:val="24"/>
        <w:szCs w:val="4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C1938DE"/>
    <w:multiLevelType w:val="hybridMultilevel"/>
    <w:tmpl w:val="B7B2B586"/>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ED11F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12"/>
  </w:num>
  <w:num w:numId="4">
    <w:abstractNumId w:val="0"/>
  </w:num>
  <w:num w:numId="5">
    <w:abstractNumId w:val="5"/>
  </w:num>
  <w:num w:numId="6">
    <w:abstractNumId w:val="1"/>
  </w:num>
  <w:num w:numId="7">
    <w:abstractNumId w:val="11"/>
  </w:num>
  <w:num w:numId="8">
    <w:abstractNumId w:val="14"/>
  </w:num>
  <w:num w:numId="9">
    <w:abstractNumId w:val="13"/>
  </w:num>
  <w:num w:numId="10">
    <w:abstractNumId w:val="7"/>
  </w:num>
  <w:num w:numId="11">
    <w:abstractNumId w:val="3"/>
  </w:num>
  <w:num w:numId="12">
    <w:abstractNumId w:val="10"/>
  </w:num>
  <w:num w:numId="13">
    <w:abstractNumId w:val="4"/>
  </w:num>
  <w:num w:numId="14">
    <w:abstractNumId w:val="8"/>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2A3"/>
    <w:rsid w:val="00001E25"/>
    <w:rsid w:val="00014790"/>
    <w:rsid w:val="00045A59"/>
    <w:rsid w:val="0005429E"/>
    <w:rsid w:val="000913AD"/>
    <w:rsid w:val="000D5A8B"/>
    <w:rsid w:val="0014411D"/>
    <w:rsid w:val="00151A09"/>
    <w:rsid w:val="001766E3"/>
    <w:rsid w:val="001A6D9E"/>
    <w:rsid w:val="00210FA1"/>
    <w:rsid w:val="00247597"/>
    <w:rsid w:val="002A24E6"/>
    <w:rsid w:val="002B6AAF"/>
    <w:rsid w:val="002C5948"/>
    <w:rsid w:val="002F47A7"/>
    <w:rsid w:val="002F60D5"/>
    <w:rsid w:val="00305C8E"/>
    <w:rsid w:val="00310A7E"/>
    <w:rsid w:val="003768D9"/>
    <w:rsid w:val="003A27F1"/>
    <w:rsid w:val="003E3941"/>
    <w:rsid w:val="003F36DF"/>
    <w:rsid w:val="00431073"/>
    <w:rsid w:val="00441C94"/>
    <w:rsid w:val="00445E0B"/>
    <w:rsid w:val="004542A3"/>
    <w:rsid w:val="004546A2"/>
    <w:rsid w:val="004559FF"/>
    <w:rsid w:val="004C52C9"/>
    <w:rsid w:val="004D6667"/>
    <w:rsid w:val="005041D0"/>
    <w:rsid w:val="0055488D"/>
    <w:rsid w:val="005A4838"/>
    <w:rsid w:val="005D5973"/>
    <w:rsid w:val="005F6378"/>
    <w:rsid w:val="0064055F"/>
    <w:rsid w:val="0065393D"/>
    <w:rsid w:val="006A466F"/>
    <w:rsid w:val="006F2E7D"/>
    <w:rsid w:val="007602B1"/>
    <w:rsid w:val="00763F92"/>
    <w:rsid w:val="00791DBD"/>
    <w:rsid w:val="007A35F3"/>
    <w:rsid w:val="007C4F8C"/>
    <w:rsid w:val="007D0E01"/>
    <w:rsid w:val="007D2B6E"/>
    <w:rsid w:val="007E6869"/>
    <w:rsid w:val="0080185E"/>
    <w:rsid w:val="00814A4D"/>
    <w:rsid w:val="00816B90"/>
    <w:rsid w:val="008258C8"/>
    <w:rsid w:val="00825FDD"/>
    <w:rsid w:val="00837EF5"/>
    <w:rsid w:val="0084639A"/>
    <w:rsid w:val="008556BE"/>
    <w:rsid w:val="008616A7"/>
    <w:rsid w:val="00865B7C"/>
    <w:rsid w:val="008B2A5D"/>
    <w:rsid w:val="008E62D7"/>
    <w:rsid w:val="008F1D3D"/>
    <w:rsid w:val="008F4C42"/>
    <w:rsid w:val="00926E00"/>
    <w:rsid w:val="00936450"/>
    <w:rsid w:val="00970DEC"/>
    <w:rsid w:val="00981766"/>
    <w:rsid w:val="009E7E89"/>
    <w:rsid w:val="009F1643"/>
    <w:rsid w:val="00A05A26"/>
    <w:rsid w:val="00A11485"/>
    <w:rsid w:val="00A92ECA"/>
    <w:rsid w:val="00A97A83"/>
    <w:rsid w:val="00AD2BBD"/>
    <w:rsid w:val="00AE3C7B"/>
    <w:rsid w:val="00AF602D"/>
    <w:rsid w:val="00B178C9"/>
    <w:rsid w:val="00B325A4"/>
    <w:rsid w:val="00B355D1"/>
    <w:rsid w:val="00B80417"/>
    <w:rsid w:val="00B93B06"/>
    <w:rsid w:val="00B9720F"/>
    <w:rsid w:val="00BD2714"/>
    <w:rsid w:val="00BF5D5E"/>
    <w:rsid w:val="00C2508E"/>
    <w:rsid w:val="00C55938"/>
    <w:rsid w:val="00C93BFA"/>
    <w:rsid w:val="00CB481A"/>
    <w:rsid w:val="00CC38BC"/>
    <w:rsid w:val="00CC70CC"/>
    <w:rsid w:val="00D6095A"/>
    <w:rsid w:val="00D9643C"/>
    <w:rsid w:val="00D96E0A"/>
    <w:rsid w:val="00DA0A04"/>
    <w:rsid w:val="00DC3EF8"/>
    <w:rsid w:val="00DF5C04"/>
    <w:rsid w:val="00E002D3"/>
    <w:rsid w:val="00E30CC5"/>
    <w:rsid w:val="00E51215"/>
    <w:rsid w:val="00E52B68"/>
    <w:rsid w:val="00E868C6"/>
    <w:rsid w:val="00E94EB9"/>
    <w:rsid w:val="00EB282B"/>
    <w:rsid w:val="00EC2512"/>
    <w:rsid w:val="00ED6F7E"/>
    <w:rsid w:val="00F0006E"/>
    <w:rsid w:val="00F1677B"/>
    <w:rsid w:val="00F61AB1"/>
    <w:rsid w:val="00F665D7"/>
    <w:rsid w:val="00FA09B5"/>
    <w:rsid w:val="00FA5BCB"/>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77B92-7566-48EF-AFBB-5100B191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78"/>
    <w:pPr>
      <w:spacing w:after="200" w:line="276" w:lineRule="auto"/>
    </w:pPr>
    <w:rPr>
      <w:sz w:val="22"/>
      <w:szCs w:val="22"/>
    </w:rPr>
  </w:style>
  <w:style w:type="paragraph" w:styleId="Heading1">
    <w:name w:val="heading 1"/>
    <w:basedOn w:val="Normal"/>
    <w:next w:val="Normal"/>
    <w:link w:val="Heading1Char"/>
    <w:uiPriority w:val="9"/>
    <w:qFormat/>
    <w:rsid w:val="004542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10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5C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6B9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6378"/>
    <w:pPr>
      <w:ind w:left="708"/>
    </w:pPr>
  </w:style>
  <w:style w:type="character" w:customStyle="1" w:styleId="Heading1Char">
    <w:name w:val="Heading 1 Char"/>
    <w:basedOn w:val="DefaultParagraphFont"/>
    <w:link w:val="Heading1"/>
    <w:uiPriority w:val="9"/>
    <w:rsid w:val="004542A3"/>
    <w:rPr>
      <w:rFonts w:ascii="Cambria" w:eastAsia="Times New Roman" w:hAnsi="Cambria" w:cs="Times New Roman"/>
      <w:b/>
      <w:bCs/>
      <w:kern w:val="32"/>
      <w:sz w:val="32"/>
      <w:szCs w:val="32"/>
      <w:lang w:val="en-US" w:eastAsia="en-US"/>
    </w:rPr>
  </w:style>
  <w:style w:type="character" w:customStyle="1" w:styleId="Heading4Char">
    <w:name w:val="Heading 4 Char"/>
    <w:basedOn w:val="DefaultParagraphFont"/>
    <w:link w:val="Heading4"/>
    <w:uiPriority w:val="9"/>
    <w:semiHidden/>
    <w:rsid w:val="00816B90"/>
    <w:rPr>
      <w:rFonts w:ascii="Calibri" w:eastAsia="Times New Roman" w:hAnsi="Calibri" w:cs="Times New Roman"/>
      <w:b/>
      <w:bCs/>
      <w:sz w:val="28"/>
      <w:szCs w:val="28"/>
      <w:lang w:val="en-US" w:eastAsia="en-US"/>
    </w:rPr>
  </w:style>
  <w:style w:type="paragraph" w:styleId="Header">
    <w:name w:val="header"/>
    <w:basedOn w:val="Normal"/>
    <w:semiHidden/>
    <w:unhideWhenUsed/>
    <w:rsid w:val="005F6378"/>
    <w:pPr>
      <w:tabs>
        <w:tab w:val="center" w:pos="4536"/>
        <w:tab w:val="right" w:pos="9072"/>
      </w:tabs>
    </w:pPr>
  </w:style>
  <w:style w:type="character" w:customStyle="1" w:styleId="HeaderChar">
    <w:name w:val="Header Char"/>
    <w:basedOn w:val="DefaultParagraphFont"/>
    <w:semiHidden/>
    <w:rsid w:val="005F6378"/>
    <w:rPr>
      <w:sz w:val="22"/>
      <w:szCs w:val="22"/>
      <w:lang w:val="en-US" w:eastAsia="en-US"/>
    </w:rPr>
  </w:style>
  <w:style w:type="paragraph" w:styleId="Footer">
    <w:name w:val="footer"/>
    <w:basedOn w:val="Normal"/>
    <w:uiPriority w:val="99"/>
    <w:unhideWhenUsed/>
    <w:rsid w:val="005F6378"/>
    <w:pPr>
      <w:tabs>
        <w:tab w:val="center" w:pos="4536"/>
        <w:tab w:val="right" w:pos="9072"/>
      </w:tabs>
    </w:pPr>
  </w:style>
  <w:style w:type="character" w:customStyle="1" w:styleId="FooterChar">
    <w:name w:val="Footer Char"/>
    <w:basedOn w:val="DefaultParagraphFont"/>
    <w:uiPriority w:val="99"/>
    <w:rsid w:val="005F6378"/>
    <w:rPr>
      <w:sz w:val="22"/>
      <w:szCs w:val="22"/>
      <w:lang w:val="en-US" w:eastAsia="en-US"/>
    </w:rPr>
  </w:style>
  <w:style w:type="character" w:styleId="Hyperlink">
    <w:name w:val="Hyperlink"/>
    <w:basedOn w:val="DefaultParagraphFont"/>
    <w:unhideWhenUsed/>
    <w:rsid w:val="005F6378"/>
    <w:rPr>
      <w:color w:val="0000FF"/>
      <w:u w:val="single"/>
    </w:rPr>
  </w:style>
  <w:style w:type="paragraph" w:styleId="BalloonText">
    <w:name w:val="Balloon Text"/>
    <w:basedOn w:val="Normal"/>
    <w:semiHidden/>
    <w:unhideWhenUsed/>
    <w:rsid w:val="005F6378"/>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F6378"/>
    <w:rPr>
      <w:rFonts w:ascii="Tahoma" w:hAnsi="Tahoma" w:cs="Tahoma"/>
      <w:sz w:val="16"/>
      <w:szCs w:val="16"/>
      <w:lang w:val="en-US" w:eastAsia="en-US"/>
    </w:rPr>
  </w:style>
  <w:style w:type="character" w:styleId="CommentReference">
    <w:name w:val="annotation reference"/>
    <w:basedOn w:val="DefaultParagraphFont"/>
    <w:uiPriority w:val="99"/>
    <w:rsid w:val="00816B90"/>
    <w:rPr>
      <w:rFonts w:ascii="Times New Roman" w:hAnsi="Times New Roman" w:cs="Times New Roman"/>
      <w:sz w:val="16"/>
      <w:szCs w:val="16"/>
    </w:rPr>
  </w:style>
  <w:style w:type="paragraph" w:styleId="CommentText">
    <w:name w:val="annotation text"/>
    <w:basedOn w:val="Normal"/>
    <w:link w:val="CommentTextChar"/>
    <w:uiPriority w:val="99"/>
    <w:rsid w:val="00816B90"/>
    <w:pPr>
      <w:spacing w:before="100" w:beforeAutospacing="1" w:after="100" w:afterAutospacing="1" w:line="240" w:lineRule="auto"/>
    </w:pPr>
    <w:rPr>
      <w:rFonts w:eastAsia="Times New Roman" w:cs="Calibri"/>
      <w:sz w:val="20"/>
      <w:szCs w:val="20"/>
      <w:lang w:val="fr-BE"/>
    </w:rPr>
  </w:style>
  <w:style w:type="character" w:customStyle="1" w:styleId="CommentTextChar">
    <w:name w:val="Comment Text Char"/>
    <w:basedOn w:val="DefaultParagraphFont"/>
    <w:link w:val="CommentText"/>
    <w:uiPriority w:val="99"/>
    <w:rsid w:val="00816B90"/>
    <w:rPr>
      <w:rFonts w:eastAsia="Times New Roman" w:cs="Calibri"/>
      <w:lang w:val="fr-BE" w:eastAsia="en-US"/>
    </w:rPr>
  </w:style>
  <w:style w:type="paragraph" w:styleId="Title">
    <w:name w:val="Title"/>
    <w:basedOn w:val="Normal"/>
    <w:next w:val="Normal"/>
    <w:link w:val="TitleChar"/>
    <w:uiPriority w:val="10"/>
    <w:qFormat/>
    <w:rsid w:val="00310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A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10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5C04"/>
    <w:rPr>
      <w:rFonts w:asciiTheme="majorHAnsi" w:eastAsiaTheme="majorEastAsia" w:hAnsiTheme="majorHAnsi" w:cstheme="majorBidi"/>
      <w:b/>
      <w:bCs/>
      <w:color w:val="4F81BD" w:themeColor="accent1"/>
      <w:sz w:val="22"/>
      <w:szCs w:val="22"/>
    </w:rPr>
  </w:style>
  <w:style w:type="table" w:styleId="LightList-Accent5">
    <w:name w:val="Light List Accent 5"/>
    <w:basedOn w:val="TableNormal"/>
    <w:uiPriority w:val="61"/>
    <w:rsid w:val="00F61AB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760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5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ceurope.wufoo.eu/forms/membership-request-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centre-europe.org/become-a-memb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elecentre-europe.org/repository/Telecentre-Europe_Statutes_EN.pdf" TargetMode="External"/><Relationship Id="rId4" Type="http://schemas.openxmlformats.org/officeDocument/2006/relationships/webSettings" Target="webSettings.xml"/><Relationship Id="rId9" Type="http://schemas.openxmlformats.org/officeDocument/2006/relationships/hyperlink" Target="http://www.unite-it.eu/"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du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ATHLON 64</Company>
  <LinksUpToDate>false</LinksUpToDate>
  <CharactersWithSpaces>8371</CharactersWithSpaces>
  <SharedDoc>false</SharedDoc>
  <HLinks>
    <vt:vector size="12" baseType="variant">
      <vt:variant>
        <vt:i4>2621452</vt:i4>
      </vt:variant>
      <vt:variant>
        <vt:i4>3</vt:i4>
      </vt:variant>
      <vt:variant>
        <vt:i4>0</vt:i4>
      </vt:variant>
      <vt:variant>
        <vt:i4>5</vt:i4>
      </vt:variant>
      <vt:variant>
        <vt:lpwstr>mailto:laurentiu.bunescu@telecentre-europe.org</vt:lpwstr>
      </vt:variant>
      <vt:variant>
        <vt:lpwstr/>
      </vt:variant>
      <vt:variant>
        <vt:i4>6422545</vt:i4>
      </vt:variant>
      <vt:variant>
        <vt:i4>0</vt:i4>
      </vt:variant>
      <vt:variant>
        <vt:i4>0</vt:i4>
      </vt:variant>
      <vt:variant>
        <vt:i4>5</vt:i4>
      </vt:variant>
      <vt:variant>
        <vt:lpwstr>mailto:info@telecentre-europe.org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Ilona Griniūtė</cp:lastModifiedBy>
  <cp:revision>6</cp:revision>
  <cp:lastPrinted>2010-10-21T13:32:00Z</cp:lastPrinted>
  <dcterms:created xsi:type="dcterms:W3CDTF">2014-07-15T11:07:00Z</dcterms:created>
  <dcterms:modified xsi:type="dcterms:W3CDTF">2014-08-04T09:05:00Z</dcterms:modified>
</cp:coreProperties>
</file>